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FA" w:rsidRDefault="003874FA" w:rsidP="007E27A7">
      <w:pPr>
        <w:pStyle w:val="Default"/>
        <w:spacing w:after="120"/>
        <w:jc w:val="both"/>
        <w:rPr>
          <w:rFonts w:asciiTheme="minorHAnsi" w:hAnsiTheme="minorHAnsi"/>
          <w:b/>
          <w:bCs/>
          <w:sz w:val="22"/>
          <w:szCs w:val="22"/>
        </w:rPr>
      </w:pPr>
      <w:r>
        <w:rPr>
          <w:rFonts w:asciiTheme="minorHAnsi" w:hAnsiTheme="minorHAnsi"/>
          <w:b/>
          <w:bCs/>
          <w:sz w:val="22"/>
          <w:szCs w:val="22"/>
        </w:rPr>
        <w:t>VÝTAH Z OPZ PRO SOCIÁLNÍ SOUDRŽNOST A ZAMĚSTNANOST</w:t>
      </w:r>
    </w:p>
    <w:p w:rsidR="000F3B70" w:rsidRPr="007E27A7" w:rsidRDefault="000F3B70"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2.1.1 Investiční priorita 1 Prioritní osy 1 </w:t>
      </w:r>
    </w:p>
    <w:p w:rsidR="00EF0D3C" w:rsidRPr="007E27A7" w:rsidRDefault="000F3B70" w:rsidP="007E27A7">
      <w:pPr>
        <w:spacing w:after="120" w:line="240" w:lineRule="auto"/>
        <w:jc w:val="both"/>
        <w:rPr>
          <w:b/>
          <w:bCs/>
        </w:rPr>
      </w:pPr>
      <w:r w:rsidRPr="007E27A7">
        <w:rPr>
          <w:b/>
          <w:bCs/>
        </w:rPr>
        <w:t>8i Přístup k zaměstnání pro osoby hledající zaměstnání a neaktivní osoby, včetně dlouhodobě nezaměstnaných a osob vzdálených trhu práce, také prostřednictvím místních iniciativ na podporu zaměstnanosti a mobility pracovníků</w:t>
      </w:r>
    </w:p>
    <w:p w:rsidR="000F3B70" w:rsidRPr="007E27A7" w:rsidRDefault="000F3B70"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2.1.2 Specifické cíle odpovídající investiční prioritě 1.1 a očekávané výsledky </w:t>
      </w:r>
    </w:p>
    <w:p w:rsidR="000F3B70" w:rsidRPr="007E27A7" w:rsidRDefault="000F3B70"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Specifický cíl 1.1.1: Zvýšit zaměstnanost podpořených osob, zejména starších, </w:t>
      </w:r>
      <w:proofErr w:type="spellStart"/>
      <w:r w:rsidRPr="007E27A7">
        <w:rPr>
          <w:rFonts w:asciiTheme="minorHAnsi" w:hAnsiTheme="minorHAnsi"/>
          <w:b/>
          <w:bCs/>
          <w:sz w:val="22"/>
          <w:szCs w:val="22"/>
        </w:rPr>
        <w:t>nízkokvalifikovaných</w:t>
      </w:r>
      <w:proofErr w:type="spellEnd"/>
      <w:r w:rsidRPr="007E27A7">
        <w:rPr>
          <w:rFonts w:asciiTheme="minorHAnsi" w:hAnsiTheme="minorHAnsi"/>
          <w:b/>
          <w:bCs/>
          <w:sz w:val="22"/>
          <w:szCs w:val="22"/>
        </w:rPr>
        <w:t xml:space="preserve"> a znevýhodněných </w:t>
      </w:r>
    </w:p>
    <w:p w:rsidR="000F3B70" w:rsidRPr="007E27A7" w:rsidRDefault="000F3B70"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Specifický cíl je navržen tak, aby zajišťoval přímý příspěvek podpořených intervencí k dosažení cílů Národního programu reforem v oblasti zaměstnanosti. Ke zvýšení obecné míry zaměstnanosti osob 20-64 let na cílovou hodnotu 75 % bude nutné zacílení zejména na skupiny osob, u kterých míra zaměstnanosti relativně nejvíce zaostává (starší, mladí, </w:t>
      </w:r>
      <w:proofErr w:type="spellStart"/>
      <w:r w:rsidRPr="007E27A7">
        <w:rPr>
          <w:rFonts w:asciiTheme="minorHAnsi" w:hAnsiTheme="minorHAnsi"/>
          <w:sz w:val="22"/>
          <w:szCs w:val="22"/>
        </w:rPr>
        <w:t>nízkokvalifikovaní</w:t>
      </w:r>
      <w:proofErr w:type="spellEnd"/>
      <w:r w:rsidRPr="007E27A7">
        <w:rPr>
          <w:rFonts w:asciiTheme="minorHAnsi" w:hAnsiTheme="minorHAnsi"/>
          <w:sz w:val="22"/>
          <w:szCs w:val="22"/>
        </w:rPr>
        <w:t xml:space="preserve">, ženy s malými dětmi a osoby se znevýhodněním). </w:t>
      </w:r>
    </w:p>
    <w:p w:rsidR="000F3B70" w:rsidRPr="007E27A7" w:rsidRDefault="000F3B70"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Při začleňování uchazečů o zaměstnání na trh práce hraje jednu z klíčových rolí využití nástrojů a opatření aktivní politiky zaměstnanosti. Intervence v rámci této investiční priority se proto dominantně soustředí na podporu nástrojů a opatření aktivní politiky zaměstnanosti. Jedná se zejména o podporu tvorby nových pracovních míst (zejména pro uchazeče a zájemce o zaměstnání s kumulovaným znevýhodněním na trhu práce), podporu poradenských aktivit vedoucích k uplatnění na trhu práce, podporu zvýšení zaměstnatelnosti, zejména zvýšení, obnovení kvalifikace nebo změnu stávající kvalifikace, která již není poptávaná na trhu práce. Podpora v rámci této investiční priority se zaměří zejména na aktivizaci ekonomicky neaktivních osob, na podporu vyšší participace mladých a starších osob na trhu práce, na vyšší zapojení rodičů s dětmi na trhu práce, začlenění osob s nízkou kvalifikací na trhu práce a osob se zdravotním postižením. U mladých lidí do 25 let se intervence soustředí na nabídku zaměstnání, dalšího vzdělávání, dokončení vzdělání, získání odborné praxe nebo stáže a obdobných aktivit. </w:t>
      </w:r>
    </w:p>
    <w:p w:rsidR="000F3B70" w:rsidRPr="007E27A7" w:rsidRDefault="000F3B70"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Specifický cíl bude naplněn prostřednictvím zvýšení počtu a podílu uchazečů a zájemců o zaměstnání podpořených v rámci nástrojů aktivní politiky zaměstnanosti, zvýšení míry zaměstnanosti podpořených osob s důrazem na skupiny osob, u kterých míra zaměstnanosti zaostává nejvíce, zvýšení podílu uchazečů a zájemců o zaměstnání, jejichž kvalifikace a dovednosti budou odpovídat požadavkům zaměstnavatelů a zvýšení využívání flexibilních forem práce. Prostředky alokované v této investiční prioritě významně přispějí k navýšení objemu prostředků vyčleněných na aktivní politiku zaměstnanosti. Realizace aktivit v rámci této investiční priority by rovněž měla přispět ke snížení regionální diferenciace v přístupu k zaměstnání, a to jak na úrovni krajů, tak okresů. Programy realizované v rámci této investiční priority budou podle potřeby doplňovány o podpůrné činnosti a doprovodná opatření. Realizace jednotlivých aktivit bude podle potřeby kombinována s cílem komplexního řešení situace osob cílových skupin. </w:t>
      </w:r>
    </w:p>
    <w:p w:rsidR="000F3B70" w:rsidRPr="007E27A7" w:rsidRDefault="000F3B70" w:rsidP="007E27A7">
      <w:pPr>
        <w:spacing w:after="120" w:line="240" w:lineRule="auto"/>
        <w:jc w:val="both"/>
      </w:pPr>
      <w:r w:rsidRPr="007E27A7">
        <w:t>Nedílnou součástí opatření ke zvyšování zaměstnanosti je rovněž podpora mezinárodní pracovní mobility v rámci zemí EU, EHP, případně Švýcarska, prostřednictvím sítě EURES.</w:t>
      </w:r>
    </w:p>
    <w:p w:rsidR="000F3B70" w:rsidRPr="007E27A7" w:rsidRDefault="000F3B70" w:rsidP="007E27A7">
      <w:pPr>
        <w:spacing w:after="120" w:line="240" w:lineRule="auto"/>
        <w:jc w:val="both"/>
      </w:pPr>
    </w:p>
    <w:p w:rsidR="000F3B70" w:rsidRPr="007E27A7" w:rsidRDefault="00934DFE" w:rsidP="007E27A7">
      <w:pPr>
        <w:spacing w:after="120" w:line="240" w:lineRule="auto"/>
        <w:jc w:val="both"/>
        <w:rPr>
          <w:i/>
        </w:rPr>
      </w:pPr>
      <w:r w:rsidRPr="007E27A7">
        <w:rPr>
          <w:bCs/>
          <w:i/>
        </w:rPr>
        <w:t>Specifický cíl 1.1.2: Zvýšit zaměstnanost podpořených mladých osob prostřednictvím programu Záruky pro mládež není v rámci IPRÚ podporován</w:t>
      </w:r>
      <w:r w:rsidR="007E27A7">
        <w:rPr>
          <w:bCs/>
          <w:i/>
        </w:rPr>
        <w:t>, text vypuštěn</w:t>
      </w:r>
    </w:p>
    <w:p w:rsidR="000F3B70" w:rsidRPr="007E27A7" w:rsidRDefault="000F3B70" w:rsidP="007E27A7">
      <w:pPr>
        <w:spacing w:after="120" w:line="240" w:lineRule="auto"/>
        <w:jc w:val="both"/>
      </w:pPr>
    </w:p>
    <w:p w:rsidR="00934DFE" w:rsidRPr="007E27A7" w:rsidRDefault="00934DFE"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Indikátory výsledku </w:t>
      </w:r>
    </w:p>
    <w:p w:rsidR="000F3B70" w:rsidRPr="007E27A7" w:rsidRDefault="00934DFE" w:rsidP="007E27A7">
      <w:pPr>
        <w:spacing w:after="120" w:line="240" w:lineRule="auto"/>
        <w:jc w:val="both"/>
      </w:pPr>
      <w:r w:rsidRPr="007E27A7">
        <w:t xml:space="preserve">Všechny níže uvedené indikátory jsou při výpočtu dále členěny dle pohlaví a charakteristik uvedených v kapitole o výstupových indikátorech (2.1.3.5), která vychází z přílohy 1 nařízení o ESF. V případě, že </w:t>
      </w:r>
      <w:r w:rsidRPr="007E27A7">
        <w:lastRenderedPageBreak/>
        <w:t>specifický cíl, ke kterému se indikátory vztahují, specifikuje cílovou skupinu dle věku či pohlaví, tak k němu náležící indikátory se vztahují taktéž pouze k této cílové skupině.</w:t>
      </w:r>
    </w:p>
    <w:p w:rsidR="00934DFE" w:rsidRPr="007E27A7" w:rsidRDefault="00934DFE" w:rsidP="007E27A7">
      <w:pPr>
        <w:spacing w:after="120" w:line="240" w:lineRule="auto"/>
        <w:jc w:val="both"/>
      </w:pPr>
      <w:r w:rsidRPr="007E27A7">
        <w:rPr>
          <w:noProof/>
          <w:lang w:eastAsia="cs-CZ"/>
        </w:rPr>
        <w:drawing>
          <wp:inline distT="0" distB="0" distL="0" distR="0" wp14:anchorId="11AE1279" wp14:editId="5E075B16">
            <wp:extent cx="5760720" cy="2737581"/>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737581"/>
                    </a:xfrm>
                    <a:prstGeom prst="rect">
                      <a:avLst/>
                    </a:prstGeom>
                    <a:noFill/>
                    <a:ln>
                      <a:noFill/>
                    </a:ln>
                  </pic:spPr>
                </pic:pic>
              </a:graphicData>
            </a:graphic>
          </wp:inline>
        </w:drawing>
      </w:r>
    </w:p>
    <w:p w:rsidR="008921B2" w:rsidRPr="007E27A7" w:rsidRDefault="008921B2" w:rsidP="007E27A7">
      <w:pPr>
        <w:pStyle w:val="Default"/>
        <w:spacing w:after="120"/>
        <w:jc w:val="both"/>
        <w:rPr>
          <w:rFonts w:asciiTheme="minorHAnsi" w:hAnsiTheme="minorHAnsi"/>
          <w:b/>
          <w:bCs/>
          <w:sz w:val="22"/>
          <w:szCs w:val="22"/>
        </w:rPr>
      </w:pPr>
      <w:r w:rsidRPr="007E27A7">
        <w:rPr>
          <w:rFonts w:asciiTheme="minorHAnsi" w:hAnsiTheme="minorHAnsi"/>
          <w:b/>
          <w:bCs/>
          <w:noProof/>
          <w:sz w:val="22"/>
          <w:szCs w:val="22"/>
          <w:lang w:eastAsia="cs-CZ"/>
        </w:rPr>
        <w:drawing>
          <wp:inline distT="0" distB="0" distL="0" distR="0" wp14:anchorId="5B3E3E7F" wp14:editId="7DF0705D">
            <wp:extent cx="5454595" cy="3935795"/>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504" cy="3935730"/>
                    </a:xfrm>
                    <a:prstGeom prst="rect">
                      <a:avLst/>
                    </a:prstGeom>
                    <a:noFill/>
                    <a:ln>
                      <a:noFill/>
                    </a:ln>
                  </pic:spPr>
                </pic:pic>
              </a:graphicData>
            </a:graphic>
          </wp:inline>
        </w:drawing>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2.1.3 Podporované aktivity v rámci investiční priority 1.1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b/>
          <w:bCs/>
          <w:i/>
          <w:iCs/>
          <w:sz w:val="22"/>
          <w:szCs w:val="22"/>
        </w:rPr>
        <w:t xml:space="preserve">2.1.3.1 Popis typů a příkladů financovaných aktivit a jejich očekávaný příspěvek ke specifickým cílům </w:t>
      </w:r>
    </w:p>
    <w:p w:rsidR="008921B2" w:rsidRDefault="008921B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Za účelem dosažení stanoveného specifického cíle budou podporovány zejména níže uvedené aktivity, které jsou navržené jako příspěvek k řešení příčin problémů trhu práce identifikovaných v kap. 1.1, zejména v části Zaměstnanost a trh práce. </w:t>
      </w:r>
    </w:p>
    <w:p w:rsidR="007E27A7" w:rsidRPr="007E27A7" w:rsidRDefault="007E27A7" w:rsidP="007E27A7">
      <w:pPr>
        <w:pStyle w:val="Default"/>
        <w:spacing w:after="120"/>
        <w:jc w:val="both"/>
        <w:rPr>
          <w:rFonts w:asciiTheme="minorHAnsi" w:hAnsiTheme="minorHAnsi"/>
          <w:sz w:val="22"/>
          <w:szCs w:val="22"/>
        </w:rPr>
      </w:pP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i/>
          <w:iCs/>
          <w:sz w:val="22"/>
          <w:szCs w:val="22"/>
        </w:rPr>
        <w:lastRenderedPageBreak/>
        <w:t xml:space="preserve">Aktivity v rámci specifického cíle 1.1.1: </w:t>
      </w:r>
    </w:p>
    <w:p w:rsidR="008921B2" w:rsidRPr="007E27A7" w:rsidRDefault="008921B2" w:rsidP="00292C84">
      <w:pPr>
        <w:pStyle w:val="Default"/>
        <w:numPr>
          <w:ilvl w:val="0"/>
          <w:numId w:val="1"/>
        </w:numPr>
        <w:spacing w:after="120"/>
        <w:jc w:val="both"/>
        <w:rPr>
          <w:rFonts w:asciiTheme="minorHAnsi" w:hAnsiTheme="minorHAnsi"/>
          <w:sz w:val="22"/>
          <w:szCs w:val="22"/>
        </w:rPr>
      </w:pPr>
      <w:r w:rsidRPr="007E27A7">
        <w:rPr>
          <w:rFonts w:asciiTheme="minorHAnsi" w:hAnsiTheme="minorHAnsi"/>
          <w:b/>
          <w:bCs/>
          <w:sz w:val="22"/>
          <w:szCs w:val="22"/>
        </w:rPr>
        <w:t xml:space="preserve">Zprostředkování zaměstnání </w:t>
      </w:r>
      <w:r w:rsidRPr="007E27A7">
        <w:rPr>
          <w:rFonts w:asciiTheme="minorHAnsi" w:hAnsiTheme="minorHAnsi"/>
          <w:sz w:val="22"/>
          <w:szCs w:val="22"/>
        </w:rPr>
        <w:t xml:space="preserve">– realizace činností souvisejících s vyhledáváním zaměstnání pro osobu, která se o práci uchází včetně podpory mezinárodní pracovní mobility; dále s vyhledáváním zaměstnanců pro zaměstnavatele, který hledá nové pracovní síly; poradenská a informační činnost v oblasti pracovních příležitostí; sdílené zprostředkování zaměstnání prostřednictvím agentur práce; </w:t>
      </w:r>
    </w:p>
    <w:p w:rsidR="008921B2" w:rsidRPr="007E27A7" w:rsidRDefault="008921B2" w:rsidP="00292C84">
      <w:pPr>
        <w:pStyle w:val="Default"/>
        <w:numPr>
          <w:ilvl w:val="0"/>
          <w:numId w:val="1"/>
        </w:numPr>
        <w:spacing w:after="120"/>
        <w:jc w:val="both"/>
        <w:rPr>
          <w:rFonts w:asciiTheme="minorHAnsi" w:hAnsiTheme="minorHAnsi"/>
          <w:color w:val="auto"/>
          <w:sz w:val="22"/>
          <w:szCs w:val="22"/>
        </w:rPr>
      </w:pPr>
      <w:r w:rsidRPr="007E27A7">
        <w:rPr>
          <w:rFonts w:asciiTheme="minorHAnsi" w:hAnsiTheme="minorHAnsi"/>
          <w:b/>
          <w:bCs/>
          <w:sz w:val="22"/>
          <w:szCs w:val="22"/>
        </w:rPr>
        <w:t xml:space="preserve">Poradenské a informační činnosti a programy </w:t>
      </w:r>
      <w:r w:rsidRPr="007E27A7">
        <w:rPr>
          <w:rFonts w:asciiTheme="minorHAnsi" w:hAnsiTheme="minorHAnsi"/>
          <w:sz w:val="22"/>
          <w:szCs w:val="22"/>
        </w:rPr>
        <w:t xml:space="preserve">– realizace poradenských činností a programů, jejichž cílem je zjišťování osobnostních a kvalifikačních předpokladů osob pro volbu povolání, pro zprostředkování vhodného zaměstnání; příprava k práci osob se zdravotním postižením a při výběru vhodných nástrojů aktivní politiky zaměstnanosti (za možného využití profilace uchazečů o zaměstnání a </w:t>
      </w:r>
      <w:proofErr w:type="spellStart"/>
      <w:r w:rsidRPr="007E27A7">
        <w:rPr>
          <w:rFonts w:asciiTheme="minorHAnsi" w:hAnsiTheme="minorHAnsi"/>
          <w:sz w:val="22"/>
          <w:szCs w:val="22"/>
        </w:rPr>
        <w:t>targetingu</w:t>
      </w:r>
      <w:proofErr w:type="spellEnd"/>
      <w:r w:rsidRPr="007E27A7">
        <w:rPr>
          <w:rFonts w:asciiTheme="minorHAnsi" w:hAnsiTheme="minorHAnsi"/>
          <w:sz w:val="22"/>
          <w:szCs w:val="22"/>
        </w:rPr>
        <w:t xml:space="preserve">), podpora JOB klubů, řízené poradenství ke změně kvalifikace; </w:t>
      </w:r>
    </w:p>
    <w:p w:rsidR="008921B2" w:rsidRPr="007E27A7" w:rsidRDefault="008921B2" w:rsidP="00292C84">
      <w:pPr>
        <w:pStyle w:val="Default"/>
        <w:numPr>
          <w:ilvl w:val="0"/>
          <w:numId w:val="1"/>
        </w:numPr>
        <w:spacing w:after="120"/>
        <w:jc w:val="both"/>
        <w:rPr>
          <w:rFonts w:asciiTheme="minorHAnsi" w:hAnsiTheme="minorHAnsi"/>
          <w:color w:val="auto"/>
          <w:sz w:val="22"/>
          <w:szCs w:val="22"/>
        </w:rPr>
      </w:pPr>
      <w:r w:rsidRPr="007E27A7">
        <w:rPr>
          <w:rFonts w:asciiTheme="minorHAnsi" w:hAnsiTheme="minorHAnsi"/>
          <w:b/>
          <w:bCs/>
          <w:color w:val="auto"/>
          <w:sz w:val="22"/>
          <w:szCs w:val="22"/>
        </w:rPr>
        <w:t xml:space="preserve">Bilanční a pracovní diagnostika </w:t>
      </w:r>
      <w:r w:rsidRPr="007E27A7">
        <w:rPr>
          <w:rFonts w:asciiTheme="minorHAnsi" w:hAnsiTheme="minorHAnsi"/>
          <w:color w:val="auto"/>
          <w:sz w:val="22"/>
          <w:szCs w:val="22"/>
        </w:rPr>
        <w:t xml:space="preserve">– podpora souladu mezi schopnostním, vzdělanostním a pracovním potenciálem osob a možností jejich reálného uplatnění na trhu práce; pracovní diagnostika jako subsystém bilanční diagnostiky se přímo zaměřuje na možnosti konkrétního pracovního uplatnění odpovídajícího schopnostem a zájmům klienta; </w:t>
      </w:r>
    </w:p>
    <w:p w:rsidR="008921B2" w:rsidRPr="007E27A7" w:rsidRDefault="008921B2" w:rsidP="00292C84">
      <w:pPr>
        <w:pStyle w:val="Default"/>
        <w:numPr>
          <w:ilvl w:val="0"/>
          <w:numId w:val="1"/>
        </w:numPr>
        <w:spacing w:after="120"/>
        <w:jc w:val="both"/>
        <w:rPr>
          <w:rFonts w:asciiTheme="minorHAnsi" w:hAnsiTheme="minorHAnsi"/>
          <w:color w:val="auto"/>
          <w:sz w:val="22"/>
          <w:szCs w:val="22"/>
        </w:rPr>
      </w:pPr>
      <w:r w:rsidRPr="007E27A7">
        <w:rPr>
          <w:rFonts w:asciiTheme="minorHAnsi" w:hAnsiTheme="minorHAnsi"/>
          <w:b/>
          <w:bCs/>
          <w:color w:val="auto"/>
          <w:sz w:val="22"/>
          <w:szCs w:val="22"/>
        </w:rPr>
        <w:t xml:space="preserve">Rekvalifikace </w:t>
      </w:r>
      <w:r w:rsidRPr="007E27A7">
        <w:rPr>
          <w:rFonts w:asciiTheme="minorHAnsi" w:hAnsiTheme="minorHAnsi"/>
          <w:color w:val="auto"/>
          <w:sz w:val="22"/>
          <w:szCs w:val="22"/>
        </w:rPr>
        <w:t xml:space="preserve">– podpora při získání nové kvalifikace, při zvyšování, rozšiřování nebo prohlubování dosavadní kvalifikace, včetně jejího udržování a obnovování. Za rekvalifikaci se považuje i získání kvalifikace pro pracovní uplatnění osoby, která dosud žádnou kvalifikaci nezískala; </w:t>
      </w:r>
    </w:p>
    <w:p w:rsidR="008921B2" w:rsidRPr="007E27A7" w:rsidRDefault="008921B2" w:rsidP="00292C84">
      <w:pPr>
        <w:pStyle w:val="Default"/>
        <w:numPr>
          <w:ilvl w:val="0"/>
          <w:numId w:val="1"/>
        </w:numPr>
        <w:spacing w:after="120"/>
        <w:jc w:val="both"/>
        <w:rPr>
          <w:rFonts w:asciiTheme="minorHAnsi" w:hAnsiTheme="minorHAnsi"/>
          <w:color w:val="auto"/>
          <w:sz w:val="22"/>
          <w:szCs w:val="22"/>
        </w:rPr>
      </w:pPr>
      <w:r w:rsidRPr="007E27A7">
        <w:rPr>
          <w:rFonts w:asciiTheme="minorHAnsi" w:hAnsiTheme="minorHAnsi"/>
          <w:b/>
          <w:bCs/>
          <w:color w:val="auto"/>
          <w:sz w:val="22"/>
          <w:szCs w:val="22"/>
        </w:rPr>
        <w:t xml:space="preserve">Rozvoj základních kompetencí </w:t>
      </w:r>
      <w:r w:rsidRPr="007E27A7">
        <w:rPr>
          <w:rFonts w:asciiTheme="minorHAnsi" w:hAnsiTheme="minorHAnsi"/>
          <w:color w:val="auto"/>
          <w:sz w:val="22"/>
          <w:szCs w:val="22"/>
        </w:rPr>
        <w:t xml:space="preserve">za účelem snazšího uplatnění na trhu práce (např. čtenářská gramotnost, numerická gramotnost či rozvoj digitálních kompetencí apod.) </w:t>
      </w:r>
    </w:p>
    <w:p w:rsidR="008921B2" w:rsidRPr="007E27A7" w:rsidRDefault="008921B2" w:rsidP="00292C84">
      <w:pPr>
        <w:pStyle w:val="Default"/>
        <w:numPr>
          <w:ilvl w:val="0"/>
          <w:numId w:val="1"/>
        </w:numPr>
        <w:spacing w:after="120"/>
        <w:jc w:val="both"/>
        <w:rPr>
          <w:rFonts w:asciiTheme="minorHAnsi" w:hAnsiTheme="minorHAnsi"/>
          <w:color w:val="auto"/>
          <w:sz w:val="22"/>
          <w:szCs w:val="22"/>
        </w:rPr>
      </w:pPr>
      <w:r w:rsidRPr="007E27A7">
        <w:rPr>
          <w:rFonts w:asciiTheme="minorHAnsi" w:hAnsiTheme="minorHAnsi"/>
          <w:b/>
          <w:bCs/>
          <w:color w:val="auto"/>
          <w:sz w:val="22"/>
          <w:szCs w:val="22"/>
        </w:rPr>
        <w:t xml:space="preserve">Podpora vytváření nových pracovních míst </w:t>
      </w:r>
      <w:r w:rsidRPr="007E27A7">
        <w:rPr>
          <w:rFonts w:asciiTheme="minorHAnsi" w:hAnsiTheme="minorHAnsi"/>
          <w:color w:val="auto"/>
          <w:sz w:val="22"/>
          <w:szCs w:val="22"/>
        </w:rPr>
        <w:t xml:space="preserve">nebo míst vyhrazených pro určitou skupinu osob náležejících k ohroženým skupinám na trhu práce, včetně podpory začínajících OSVČ z řad uchazečů o zaměstnání či jiných skupin osob znevýhodněných na trhu práce; </w:t>
      </w:r>
    </w:p>
    <w:p w:rsidR="008921B2" w:rsidRPr="007E27A7" w:rsidRDefault="008921B2" w:rsidP="00292C84">
      <w:pPr>
        <w:pStyle w:val="Default"/>
        <w:numPr>
          <w:ilvl w:val="0"/>
          <w:numId w:val="1"/>
        </w:numPr>
        <w:spacing w:after="120"/>
        <w:jc w:val="both"/>
        <w:rPr>
          <w:rFonts w:asciiTheme="minorHAnsi" w:hAnsiTheme="minorHAnsi"/>
          <w:color w:val="auto"/>
          <w:sz w:val="22"/>
          <w:szCs w:val="22"/>
        </w:rPr>
      </w:pPr>
      <w:r w:rsidRPr="007E27A7">
        <w:rPr>
          <w:rFonts w:asciiTheme="minorHAnsi" w:hAnsiTheme="minorHAnsi"/>
          <w:b/>
          <w:bCs/>
          <w:color w:val="auto"/>
          <w:sz w:val="22"/>
          <w:szCs w:val="22"/>
        </w:rPr>
        <w:t xml:space="preserve">Podpora umístění na uvolněná pracovní místa </w:t>
      </w:r>
      <w:r w:rsidRPr="007E27A7">
        <w:rPr>
          <w:rFonts w:asciiTheme="minorHAnsi" w:hAnsiTheme="minorHAnsi"/>
          <w:color w:val="auto"/>
          <w:sz w:val="22"/>
          <w:szCs w:val="22"/>
        </w:rPr>
        <w:t xml:space="preserve">– bude podporováno nejenom vytváření či vymezování nových pracovních míst, ale rovněž umisťování ohrožených skupin osob na ta místa, která budou z různých příčin (např. odchod do důchodu, atd.) na trhu práce uvolňována; </w:t>
      </w:r>
    </w:p>
    <w:p w:rsidR="008921B2" w:rsidRPr="007E27A7" w:rsidRDefault="008921B2" w:rsidP="00292C84">
      <w:pPr>
        <w:pStyle w:val="Default"/>
        <w:numPr>
          <w:ilvl w:val="0"/>
          <w:numId w:val="1"/>
        </w:numPr>
        <w:spacing w:after="120"/>
        <w:jc w:val="both"/>
        <w:rPr>
          <w:rFonts w:asciiTheme="minorHAnsi" w:hAnsiTheme="minorHAnsi"/>
          <w:color w:val="auto"/>
          <w:sz w:val="22"/>
          <w:szCs w:val="22"/>
        </w:rPr>
      </w:pPr>
      <w:r w:rsidRPr="007E27A7">
        <w:rPr>
          <w:rFonts w:asciiTheme="minorHAnsi" w:hAnsiTheme="minorHAnsi"/>
          <w:b/>
          <w:bCs/>
          <w:color w:val="auto"/>
          <w:sz w:val="22"/>
          <w:szCs w:val="22"/>
        </w:rPr>
        <w:t xml:space="preserve">Podpora aktivit k získání pracovních návyků a zkušeností </w:t>
      </w:r>
      <w:r w:rsidRPr="007E27A7">
        <w:rPr>
          <w:rFonts w:asciiTheme="minorHAnsi" w:hAnsiTheme="minorHAnsi"/>
          <w:color w:val="auto"/>
          <w:sz w:val="22"/>
          <w:szCs w:val="22"/>
        </w:rPr>
        <w:t xml:space="preserve">jako jsou veřejně prospěšné práce, společensky účelná pracovní místa, krátkodobé pracovní příležitosti, pracovní trénink, odborné praxe a stáže, včetně podpory mezinárodní pracovní mobility; </w:t>
      </w:r>
    </w:p>
    <w:p w:rsidR="008921B2" w:rsidRPr="007E27A7" w:rsidRDefault="008921B2" w:rsidP="00292C84">
      <w:pPr>
        <w:pStyle w:val="Default"/>
        <w:numPr>
          <w:ilvl w:val="0"/>
          <w:numId w:val="1"/>
        </w:numPr>
        <w:spacing w:after="120"/>
        <w:jc w:val="both"/>
        <w:rPr>
          <w:rFonts w:asciiTheme="minorHAnsi" w:hAnsiTheme="minorHAnsi"/>
          <w:color w:val="auto"/>
          <w:sz w:val="22"/>
          <w:szCs w:val="22"/>
        </w:rPr>
      </w:pPr>
      <w:r w:rsidRPr="007E27A7">
        <w:rPr>
          <w:rFonts w:asciiTheme="minorHAnsi" w:hAnsiTheme="minorHAnsi"/>
          <w:b/>
          <w:bCs/>
          <w:color w:val="auto"/>
          <w:sz w:val="22"/>
          <w:szCs w:val="22"/>
        </w:rPr>
        <w:t xml:space="preserve">Podpora flexibilních forem zaměstnání </w:t>
      </w:r>
      <w:r w:rsidRPr="007E27A7">
        <w:rPr>
          <w:rFonts w:asciiTheme="minorHAnsi" w:hAnsiTheme="minorHAnsi"/>
          <w:color w:val="auto"/>
          <w:sz w:val="22"/>
          <w:szCs w:val="22"/>
        </w:rPr>
        <w:t xml:space="preserve">jako způsobu vytváření podmínek zejména pro uplatnění žen, mladých lidí, starších osob a dalších osob znevýhodněných na trhu práce (zkrácený úvazek, rotace na pracovním místě, sdílení pracovního místa, práce na dálku apod.); </w:t>
      </w:r>
    </w:p>
    <w:p w:rsidR="008921B2" w:rsidRPr="007E27A7" w:rsidRDefault="008921B2" w:rsidP="00292C84">
      <w:pPr>
        <w:pStyle w:val="Default"/>
        <w:numPr>
          <w:ilvl w:val="0"/>
          <w:numId w:val="1"/>
        </w:numPr>
        <w:spacing w:after="120"/>
        <w:jc w:val="both"/>
        <w:rPr>
          <w:rFonts w:asciiTheme="minorHAnsi" w:hAnsiTheme="minorHAnsi"/>
          <w:color w:val="auto"/>
          <w:sz w:val="22"/>
          <w:szCs w:val="22"/>
        </w:rPr>
      </w:pPr>
      <w:r w:rsidRPr="007E27A7">
        <w:rPr>
          <w:rFonts w:asciiTheme="minorHAnsi" w:hAnsiTheme="minorHAnsi"/>
          <w:b/>
          <w:bCs/>
          <w:color w:val="auto"/>
          <w:sz w:val="22"/>
          <w:szCs w:val="22"/>
        </w:rPr>
        <w:t xml:space="preserve">Doprovodná opatření umožňující začlenění podpořených osob na trh práce </w:t>
      </w:r>
      <w:r w:rsidRPr="007E27A7">
        <w:rPr>
          <w:rFonts w:asciiTheme="minorHAnsi" w:hAnsiTheme="minorHAnsi"/>
          <w:color w:val="auto"/>
          <w:sz w:val="22"/>
          <w:szCs w:val="22"/>
        </w:rPr>
        <w:t xml:space="preserve">s cílem usnadnění přístupu cílových skupin k hlavní formě podpory v této investiční prioritě – zejména podpora zapracování, dopravy, ubytování a stravování účastníků, péče o závislé osoby, zvyšování finanční gramotnosti a prevence předlužení a další doprovodné sociální aktivity umožňující začlenění podpořených osob na trh práce. Tyto aktivity jsou dostupné podpořeným osobám pouze po dobu jejich účasti na projektu, resp. po dobu trvání hlavní formy podpory v rámci projektu; </w:t>
      </w:r>
    </w:p>
    <w:p w:rsidR="008921B2" w:rsidRPr="007E27A7" w:rsidRDefault="008921B2" w:rsidP="00292C84">
      <w:pPr>
        <w:pStyle w:val="Default"/>
        <w:numPr>
          <w:ilvl w:val="0"/>
          <w:numId w:val="1"/>
        </w:numPr>
        <w:spacing w:after="120"/>
        <w:jc w:val="both"/>
        <w:rPr>
          <w:rFonts w:asciiTheme="minorHAnsi" w:hAnsiTheme="minorHAnsi"/>
          <w:color w:val="auto"/>
          <w:sz w:val="22"/>
          <w:szCs w:val="22"/>
        </w:rPr>
      </w:pPr>
      <w:r w:rsidRPr="007E27A7">
        <w:rPr>
          <w:rFonts w:asciiTheme="minorHAnsi" w:hAnsiTheme="minorHAnsi"/>
          <w:b/>
          <w:bCs/>
          <w:color w:val="auto"/>
          <w:sz w:val="22"/>
          <w:szCs w:val="22"/>
        </w:rPr>
        <w:t xml:space="preserve">Motivační aktivity </w:t>
      </w:r>
      <w:r w:rsidRPr="007E27A7">
        <w:rPr>
          <w:rFonts w:asciiTheme="minorHAnsi" w:hAnsiTheme="minorHAnsi"/>
          <w:color w:val="auto"/>
          <w:sz w:val="22"/>
          <w:szCs w:val="22"/>
        </w:rPr>
        <w:t xml:space="preserve">– aktivity zaměřené na zvýšení orientace v požadavcích trhu práce, požadavcích volných pracovních míst na trhu práce, dále příprava k zařazení do rekvalifikace, resp. jiného nástroje aktivní politiky zaměstnanosti, včetně obnovení pracovních návyků; </w:t>
      </w:r>
    </w:p>
    <w:p w:rsidR="008921B2" w:rsidRPr="007E27A7" w:rsidRDefault="008921B2" w:rsidP="00292C84">
      <w:pPr>
        <w:pStyle w:val="Default"/>
        <w:numPr>
          <w:ilvl w:val="0"/>
          <w:numId w:val="1"/>
        </w:numPr>
        <w:spacing w:after="120"/>
        <w:jc w:val="both"/>
        <w:rPr>
          <w:rFonts w:asciiTheme="minorHAnsi" w:hAnsiTheme="minorHAnsi"/>
          <w:color w:val="auto"/>
          <w:sz w:val="22"/>
          <w:szCs w:val="22"/>
        </w:rPr>
      </w:pPr>
      <w:r w:rsidRPr="007E27A7">
        <w:rPr>
          <w:rFonts w:asciiTheme="minorHAnsi" w:hAnsiTheme="minorHAnsi"/>
          <w:b/>
          <w:bCs/>
          <w:color w:val="auto"/>
          <w:sz w:val="22"/>
          <w:szCs w:val="22"/>
        </w:rPr>
        <w:lastRenderedPageBreak/>
        <w:t xml:space="preserve">Pracovní rehabilitace </w:t>
      </w:r>
      <w:r w:rsidRPr="007E27A7">
        <w:rPr>
          <w:rFonts w:asciiTheme="minorHAnsi" w:hAnsiTheme="minorHAnsi"/>
          <w:color w:val="auto"/>
          <w:sz w:val="22"/>
          <w:szCs w:val="22"/>
        </w:rPr>
        <w:t xml:space="preserve">– podpora souvislé činnosti zaměřené na získání a udržení vhodného zaměstnání osoby se zdravotním postižením; </w:t>
      </w:r>
    </w:p>
    <w:p w:rsidR="008921B2" w:rsidRPr="007E27A7" w:rsidRDefault="008921B2" w:rsidP="00292C84">
      <w:pPr>
        <w:pStyle w:val="Default"/>
        <w:numPr>
          <w:ilvl w:val="0"/>
          <w:numId w:val="1"/>
        </w:numPr>
        <w:spacing w:after="120"/>
        <w:jc w:val="both"/>
        <w:rPr>
          <w:rFonts w:asciiTheme="minorHAnsi" w:hAnsiTheme="minorHAnsi"/>
          <w:color w:val="auto"/>
          <w:sz w:val="22"/>
          <w:szCs w:val="22"/>
        </w:rPr>
      </w:pPr>
      <w:r w:rsidRPr="007E27A7">
        <w:rPr>
          <w:rFonts w:asciiTheme="minorHAnsi" w:hAnsiTheme="minorHAnsi"/>
          <w:b/>
          <w:bCs/>
          <w:color w:val="auto"/>
          <w:sz w:val="22"/>
          <w:szCs w:val="22"/>
        </w:rPr>
        <w:t xml:space="preserve">Realizace nových či inovativních nástrojů aktivní politiky zaměstnanosti </w:t>
      </w:r>
      <w:r w:rsidRPr="007E27A7">
        <w:rPr>
          <w:rFonts w:asciiTheme="minorHAnsi" w:hAnsiTheme="minorHAnsi"/>
          <w:color w:val="auto"/>
          <w:sz w:val="22"/>
          <w:szCs w:val="22"/>
        </w:rPr>
        <w:t xml:space="preserve">v souladu s aktuálními potřebami trhu práce, včetně podpory principů sociální ekonomiky; </w:t>
      </w:r>
    </w:p>
    <w:p w:rsidR="008921B2" w:rsidRPr="007E27A7" w:rsidRDefault="008921B2" w:rsidP="007E27A7">
      <w:pPr>
        <w:spacing w:after="120" w:line="240" w:lineRule="auto"/>
        <w:jc w:val="both"/>
      </w:pPr>
      <w:r w:rsidRPr="007E27A7">
        <w:t>(…) aktivity k cíli 1.1.2 vypuštěny</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Identifikace hlavních cílových skupin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Cílové skupiny zahrnují především uchazeče a zájemce o zaměstnání, osoby se zdravotním postižením, osoby s kumulací hendikepů na trhu práce a ekonomicky neaktivní osoby, včetně osob vracejících se na trh práce po návratu z mateřské/rodičovské dovolené. Zvláštní důraz bude kladen na osoby znevýhodněné na trhu práce (např. osoby 55 – 64 let, osoby do 25 let věku, příslušníci etnických menšin a osoby s nízkou úrovní kvalifikace (stupeň ISCED 0 – 2)).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Identifikace typů příjemců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Příjemci v této investiční prioritě budou zejména MPSV a jím řízené/zřízené instituce, poradenské a vzdělávací instituce, nestátní neziskové organizace, obce a svazky obcí, atd.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Uvedení specifických území, na která bude podpora cílena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V souladu s čl. </w:t>
      </w:r>
      <w:proofErr w:type="gramStart"/>
      <w:r w:rsidRPr="007E27A7">
        <w:rPr>
          <w:rFonts w:asciiTheme="minorHAnsi" w:hAnsiTheme="minorHAnsi"/>
          <w:sz w:val="22"/>
          <w:szCs w:val="22"/>
        </w:rPr>
        <w:t>96 (1) (a) obecného</w:t>
      </w:r>
      <w:proofErr w:type="gramEnd"/>
      <w:r w:rsidRPr="007E27A7">
        <w:rPr>
          <w:rFonts w:asciiTheme="minorHAnsi" w:hAnsiTheme="minorHAnsi"/>
          <w:sz w:val="22"/>
          <w:szCs w:val="22"/>
        </w:rPr>
        <w:t xml:space="preserve"> nařízení bude umožněno zacílení podpory v rámci této investiční priority na celé území České republiky tak, aby mohly být problémy trhu práce řešeny pomocí nástrojů APZ plošně v rámci celé ČR. Zvýšená pozornost, jak z hlediska výše vyčleněných finančních prostředků, tak z hlediska podporovaných opatření, bude věnována krajům s nadprůměrnou mírou nezaměstnanosti a obcím ve státem podporovaných hospodářsky problémových regionech.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Indikativní procentuální podíl investiční priority na prioritní ose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Na tuto investiční prioritu je indikativně vyčleněno 43,4 % prostředků z alokace ESF na prioritní osu.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b/>
          <w:bCs/>
          <w:i/>
          <w:iCs/>
          <w:sz w:val="22"/>
          <w:szCs w:val="22"/>
        </w:rPr>
        <w:t xml:space="preserve">2.1.3.2 Hlavní principy výběru operací </w:t>
      </w:r>
    </w:p>
    <w:p w:rsidR="008921B2" w:rsidRPr="007E27A7" w:rsidRDefault="008921B2" w:rsidP="007E27A7">
      <w:pPr>
        <w:spacing w:after="120" w:line="240" w:lineRule="auto"/>
        <w:jc w:val="both"/>
      </w:pPr>
      <w:r w:rsidRPr="007E27A7">
        <w:t>Výběr projektů bude probíhat v souladu se závazným metodickým pokynem MMR pro řízení výzev, hodnocení a výběr projektů v programovém období 2014-2020. Tento metodický pokyn si klade za cíl mj. posílit důraz na posuzování skutečného smyslu a potřebnosti</w:t>
      </w:r>
      <w:r w:rsidR="007E27A7">
        <w:t xml:space="preserve"> </w:t>
      </w:r>
      <w:r w:rsidRPr="007E27A7">
        <w:t xml:space="preserve">projektů (omezením počtu bodů přidělovaných za proveditelnost projektu), a zvýšení míry transparentnosti procesu výběru projektů. Metodický pokyn vychází mj. ze Strategie pro boj s podvody a korupcí v rámci čerpání ESI fondů v období 2014 – 2020.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V rámci této investiční priority budou vyhlašovány výzvy na předkládání soutěžních projektů a projektů přímého přidělení (nesoutěžních). Do výběru projektů přímého přidělení (stejně jako do přípravy všech výzev) bude zapojeno příslušné Programové partnerství, tj. platforma ustavená ŘO OPZ pro vymezené úrovně struktury OPZ (zpravidla pro jednotlivé prioritní osy) na principu partnerství. V Programovém partnerství jsou zpravidla zastoupeni: ŘO, dotčené partnerské řídicí orgány, věcní garanti za příslušnou oblast, MMR, další expertní subjekty/osoby, sociální a ekonomičtí partneři (zejména nestátní neziskový sektor). Projekty přímého přidělení musí ve fázi přípravy, tj. v podobě projektového záměru, získat souhlas Programového partnerství (nebo jím schválené platformy) s rozpracováním do formátu plné žádosti o podporu. Projekt přímého přidělení předložený do výzvy, aniž by měl tento souhlas, bude vyřazen v rámci hodnocení přijatelnosti dané žádosti o podporu.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Projekty budou hodnoceny a vybírány podle kritérií pro výběr projektů, která schválí Monitorovací výbor OPZ. Pro zajištění příspěvku projektů k plnění specifických cílů a dosahování výsledků příslušných prioritních os budou v kritériích pro výběr projektů zastoupena kritéria vztahující se k dosahování hodnot monitorovacích indikátorů, resp. jednotek výstupu v případě projektů využívajících jednotkové náklady.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sz w:val="22"/>
          <w:szCs w:val="22"/>
        </w:rPr>
        <w:lastRenderedPageBreak/>
        <w:t xml:space="preserve">Za účelem snížení administrativní zátěže bude usilováno o využívání zjednodušených forem vykazování výdajů. Všude tam, kde dostupná data a charakter projektů umožní vydefinování konkrétních jednotek výstupů a jejich ocenění, bude zvažováno využití jednotkových nákladů.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Při hodnocení a výběru projektů bude posuzována rovněž problematika horizontálních témat (rovné příležitosti a nediskriminace, rovnost žen a mužů a udržitelný rozvoj). Projekt, u kterého bude identifikován negativní dopad na uvedená horizontální témata, nebude moci být podpořen z prostředků OPZ (blíže viz kap. 11).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V rámci této investiční priority mohou být realizovány také projekty, které budou součástí integrovaných nástrojů, viz kap. 4 Integrovaný přístup k územnímu rozvoji. V takovém případě budou projekty vybírány v souladu s postupem uvedeným v Metodickém pokynu pro využití integrovaných nástrojů v programovém období 2014-2020.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b/>
          <w:bCs/>
          <w:i/>
          <w:iCs/>
          <w:sz w:val="22"/>
          <w:szCs w:val="22"/>
        </w:rPr>
        <w:t xml:space="preserve">2.1.3.3 Plánované využití finančních nástrojů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Využití finančních nástrojů se nepředpokládá.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b/>
          <w:bCs/>
          <w:i/>
          <w:iCs/>
          <w:sz w:val="22"/>
          <w:szCs w:val="22"/>
        </w:rPr>
        <w:t xml:space="preserve">2.1.3.4 Plánované využití velkých projektů </w:t>
      </w:r>
    </w:p>
    <w:p w:rsidR="008921B2" w:rsidRPr="007E27A7" w:rsidRDefault="008921B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Vzhledem k tomu, že OPZ je spolufinancován z ESF, nebude obsahovat žádné velké projekty ve smyslu čl. 90 obecného nařízení. </w:t>
      </w:r>
    </w:p>
    <w:p w:rsidR="008921B2" w:rsidRPr="007E27A7" w:rsidRDefault="008921B2" w:rsidP="007E27A7">
      <w:pPr>
        <w:spacing w:after="120" w:line="240" w:lineRule="auto"/>
        <w:jc w:val="both"/>
        <w:rPr>
          <w:b/>
          <w:bCs/>
          <w:i/>
          <w:iCs/>
        </w:rPr>
      </w:pPr>
      <w:r w:rsidRPr="007E27A7">
        <w:rPr>
          <w:b/>
          <w:bCs/>
          <w:i/>
          <w:iCs/>
        </w:rPr>
        <w:t>2.1.3.5 Společné a specifické indikátory výstupu</w:t>
      </w:r>
    </w:p>
    <w:p w:rsidR="008921B2" w:rsidRPr="007E27A7" w:rsidRDefault="008921B2" w:rsidP="007E27A7">
      <w:pPr>
        <w:spacing w:after="120" w:line="240" w:lineRule="auto"/>
        <w:jc w:val="both"/>
        <w:rPr>
          <w:b/>
          <w:bCs/>
          <w:i/>
          <w:iCs/>
        </w:rPr>
      </w:pPr>
      <w:r w:rsidRPr="007E27A7">
        <w:rPr>
          <w:b/>
          <w:bCs/>
          <w:i/>
          <w:iCs/>
          <w:noProof/>
          <w:lang w:eastAsia="cs-CZ"/>
        </w:rPr>
        <w:drawing>
          <wp:inline distT="0" distB="0" distL="0" distR="0" wp14:anchorId="0C13A503" wp14:editId="68AE1611">
            <wp:extent cx="5057140" cy="1232535"/>
            <wp:effectExtent l="0" t="0" r="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140" cy="1232535"/>
                    </a:xfrm>
                    <a:prstGeom prst="rect">
                      <a:avLst/>
                    </a:prstGeom>
                    <a:noFill/>
                    <a:ln>
                      <a:noFill/>
                    </a:ln>
                  </pic:spPr>
                </pic:pic>
              </a:graphicData>
            </a:graphic>
          </wp:inline>
        </w:drawing>
      </w:r>
    </w:p>
    <w:p w:rsidR="008921B2" w:rsidRPr="007E27A7" w:rsidRDefault="008921B2" w:rsidP="007E27A7">
      <w:pPr>
        <w:spacing w:after="120" w:line="240" w:lineRule="auto"/>
        <w:jc w:val="both"/>
        <w:rPr>
          <w:b/>
          <w:bCs/>
          <w:i/>
          <w:iCs/>
        </w:rPr>
      </w:pPr>
      <w:r w:rsidRPr="007E27A7">
        <w:rPr>
          <w:b/>
          <w:bCs/>
          <w:i/>
          <w:iCs/>
          <w:noProof/>
          <w:lang w:eastAsia="cs-CZ"/>
        </w:rPr>
        <w:drawing>
          <wp:inline distT="0" distB="0" distL="0" distR="0" wp14:anchorId="799169EE" wp14:editId="5A99D4E8">
            <wp:extent cx="5057140" cy="3458845"/>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140" cy="3458845"/>
                    </a:xfrm>
                    <a:prstGeom prst="rect">
                      <a:avLst/>
                    </a:prstGeom>
                    <a:noFill/>
                    <a:ln>
                      <a:noFill/>
                    </a:ln>
                  </pic:spPr>
                </pic:pic>
              </a:graphicData>
            </a:graphic>
          </wp:inline>
        </w:drawing>
      </w:r>
    </w:p>
    <w:p w:rsidR="008921B2" w:rsidRPr="007E27A7" w:rsidRDefault="008921B2" w:rsidP="007E27A7">
      <w:pPr>
        <w:spacing w:after="120" w:line="240" w:lineRule="auto"/>
        <w:jc w:val="both"/>
      </w:pPr>
    </w:p>
    <w:p w:rsidR="008921B2" w:rsidRPr="007E27A7" w:rsidRDefault="00151522" w:rsidP="007E27A7">
      <w:pPr>
        <w:spacing w:after="120" w:line="240" w:lineRule="auto"/>
        <w:jc w:val="both"/>
      </w:pPr>
      <w:r w:rsidRPr="007E27A7">
        <w:t>(…) Priority 1.2 až 1.5 nejsou podporovány z IPRÚ</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b/>
          <w:bCs/>
          <w:sz w:val="22"/>
          <w:szCs w:val="22"/>
        </w:rPr>
        <w:lastRenderedPageBreak/>
        <w:t xml:space="preserve">2.2 Prioritní osa 2 Sociální začleňování a boj s chudobou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Prioritní osa 2 Sociální začleňování a boj s chudobou bude financována v rámci tematického cíle č. 9 Podpora sociálního začleňování a boj proti chudobě a diskriminaci. Prioritní osa 2 bude pokrývat obě dvě kategorie regionů v ČR a projekty podpořené v investičních prioritách 2.1 a 2.2 proto budou moci být realizovány na celém území ČR včetně Prahy. Důvodem je skutečnost, že prioritní osa 2 obsahuje jednak intervence systémového charakteru, které ze své podstaty mají dopad na celé území ČR (investiční priorita 2.2 </w:t>
      </w:r>
      <w:r w:rsidRPr="007E27A7">
        <w:rPr>
          <w:rFonts w:asciiTheme="minorHAnsi" w:hAnsiTheme="minorHAnsi"/>
          <w:i/>
          <w:iCs/>
          <w:sz w:val="22"/>
          <w:szCs w:val="22"/>
        </w:rPr>
        <w:t xml:space="preserve">Zlepšování přístupu k dostupným, udržitelným a vysoce kvalitním službám, včetně zdravotnictví a sociálních služeb obecného zájmu) </w:t>
      </w:r>
      <w:r w:rsidRPr="007E27A7">
        <w:rPr>
          <w:rFonts w:asciiTheme="minorHAnsi" w:hAnsiTheme="minorHAnsi"/>
          <w:sz w:val="22"/>
          <w:szCs w:val="22"/>
        </w:rPr>
        <w:t xml:space="preserve">a jednak obsahuje intervence sice vůči jednotlivcům, avšak tyto služby jsou poskytovány cílovým skupinám jednotným způsobem na celém území ČR přes zavedenou síť institucí (sociální služby s významným zapojením krajů).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Kromě výše zmíněných věcných potřeb je důvodem pro kombinaci kategorií regionů v rámci OP Zaměstnanost také hledisko implementace programu, konkrétně s tím spojené zjednodušení řízení, monitorování a kontroly využití prostředků ESF, které jsou v obou dotčených kategoriích regionů vynakládány na stejné aktivity. Jednotná řídicí struktura tak může efektivně zajistit dodržení a kontrolu principu nepřevoditelnosti finančních prostředků mezi kategoriemi regionů, ale i hospodárné a maximálně koordinované využití finančních prostředků obou kategorií regionů. Tento přístup je současně jednodušší pro příjemce, protože zejména v případě národních a systémových intervencí umožňuje pokrýt jedním projektem celé území ČR, bez nutnosti předkládat jeden projekt do OP Zaměstnanost a druhý doplňkový do </w:t>
      </w:r>
      <w:proofErr w:type="gramStart"/>
      <w:r w:rsidRPr="007E27A7">
        <w:rPr>
          <w:rFonts w:asciiTheme="minorHAnsi" w:hAnsiTheme="minorHAnsi"/>
          <w:sz w:val="22"/>
          <w:szCs w:val="22"/>
        </w:rPr>
        <w:t>OP</w:t>
      </w:r>
      <w:proofErr w:type="gramEnd"/>
      <w:r w:rsidRPr="007E27A7">
        <w:rPr>
          <w:rFonts w:asciiTheme="minorHAnsi" w:hAnsiTheme="minorHAnsi"/>
          <w:sz w:val="22"/>
          <w:szCs w:val="22"/>
        </w:rPr>
        <w:t xml:space="preserve"> Praha pól růstu ČR.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sz w:val="22"/>
          <w:szCs w:val="22"/>
        </w:rPr>
        <w:t>V souladu s čl. 70 (1) obecného nařízení a čl. 13 (2) nařízení o ESF budou projekty realizované v Praze nebo na celém území ČR a současně mající dopad na celé území ČR financovány z obou kategorií regionů, a to na základě pro-</w:t>
      </w:r>
      <w:proofErr w:type="spellStart"/>
      <w:r w:rsidRPr="007E27A7">
        <w:rPr>
          <w:rFonts w:asciiTheme="minorHAnsi" w:hAnsiTheme="minorHAnsi"/>
          <w:sz w:val="22"/>
          <w:szCs w:val="22"/>
        </w:rPr>
        <w:t>rata</w:t>
      </w:r>
      <w:proofErr w:type="spellEnd"/>
      <w:r w:rsidRPr="007E27A7">
        <w:rPr>
          <w:rFonts w:asciiTheme="minorHAnsi" w:hAnsiTheme="minorHAnsi"/>
          <w:sz w:val="22"/>
          <w:szCs w:val="22"/>
        </w:rPr>
        <w:t xml:space="preserve"> vyjádřeného podílem Prahy na počtu klientů sociálních služeb (21,25 %). Projekty, jejichž dopad je regionálně omezen, budou financovány buď z prostředků méně rozvinutých, nebo více rozvinutých regionů, v závislosti na tom, kde bude projekt realizován (tj. kde budou realizovány aktivity pro cílové skupiny). Výše příspěvku na jednotlivé kategorie regionů v prioritní ose 2 je vyčíslena ve finanční tabulce OPZ (viz kap. 3), a to na základě indikativní kalkulace obsažené v příloze OPZ. Daný procentuální poměr podílu intervencí v Praze je vyčíslen z celkových zdrojů, tj. včetně národního spolufinancování. V případě, že skutečný objem prostředků v projektech realizovaných na území hl. m. Prahy bude vyšší, než původně předpokládaný, bude potřebné navýšení prostředků pro kategorie více rozvinutých regionů hrazeno z národních zdrojů. </w:t>
      </w:r>
    </w:p>
    <w:p w:rsidR="007E27A7" w:rsidRDefault="007E27A7" w:rsidP="007E27A7">
      <w:pPr>
        <w:pStyle w:val="Default"/>
        <w:spacing w:after="120"/>
        <w:jc w:val="both"/>
        <w:rPr>
          <w:rFonts w:asciiTheme="minorHAnsi" w:hAnsiTheme="minorHAnsi"/>
          <w:b/>
          <w:bCs/>
          <w:sz w:val="22"/>
          <w:szCs w:val="22"/>
        </w:rPr>
      </w:pP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2.2.1 Investiční priorita 1 Prioritní osy 2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9i Aktivní začleňování, včetně začleňování s ohledem na podporu rovných příležitostí a aktivní účast a zlepšení zaměstnatelnosti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2.2.2 Specifické cíle odpovídající investiční prioritě 2.1 a očekávané výsledky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Specifický cíl 2.1.1: Zvýšit uplatnitelnost osob ohrožených sociálním vyloučením nebo sociálně vyloučených ve společnosti a na trhu práce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Specifický cíl přispěje k dosažení národního cíle vytčeného v NPR (zachování počtu osob ohrožených chudobou nebo sociálním vyloučením na úrovni r. 2008, snaha o pokles 30 000 os.). Pro sociální začlenění osob ohrožených sociálním vyloučením nebo sociálně vyloučených je hlavní podpora jejich přístupu ke společenským zdrojům, jako je zaměstnání, vzdělání, bydlení, zdravotní péče, sociální ochrana i možnost uplatňovat svá práva. </w:t>
      </w:r>
    </w:p>
    <w:p w:rsidR="00151522" w:rsidRPr="007E27A7" w:rsidRDefault="00151522" w:rsidP="007E27A7">
      <w:pPr>
        <w:spacing w:after="120" w:line="240" w:lineRule="auto"/>
        <w:jc w:val="both"/>
      </w:pPr>
      <w:r w:rsidRPr="007E27A7">
        <w:t>Sociální vyloučení představuje kontinuální společenský fenomén, jehož řešení si vyžaduje komplexní přístup. Zásadní úlohu a vliv v procesu začleňování sociálně vyloučených osob či osob ohrožených sociálním vyloučením mají místní aktéři, hlavně místní samosprávy.</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Podpora sociálního začleňování musí být v souladu s komplexním regionálním/místním rozvojem, ke kterému přispějí i strategie sociálního začleňování střednědobého charakteru vytvářené na </w:t>
      </w:r>
      <w:r w:rsidRPr="007E27A7">
        <w:rPr>
          <w:rFonts w:asciiTheme="minorHAnsi" w:hAnsiTheme="minorHAnsi"/>
          <w:sz w:val="22"/>
          <w:szCs w:val="22"/>
        </w:rPr>
        <w:lastRenderedPageBreak/>
        <w:t xml:space="preserve">partnerském principu. Aktivity budou směřovat ke koordinaci nástrojů sociálního začleňování prostřednictvím místních samospráv spolupracujících s relevantními aktéry. Místní samosprávy musí hrát zásadní roli v prevenci problémů souvisejících se sociálním vyloučením a efektivně využívat nástroje pro jejich řešení. Při tvorbě a realizaci politik/nástrojů je třeba, aby byla k dispozici relevantní data, tvořeny analýzy, byl prováděn monitoring plnění opatření a vyhodnocována efektivita a účelnost opatření (evidence </w:t>
      </w:r>
      <w:proofErr w:type="spellStart"/>
      <w:r w:rsidRPr="007E27A7">
        <w:rPr>
          <w:rFonts w:asciiTheme="minorHAnsi" w:hAnsiTheme="minorHAnsi"/>
          <w:sz w:val="22"/>
          <w:szCs w:val="22"/>
        </w:rPr>
        <w:t>based</w:t>
      </w:r>
      <w:proofErr w:type="spellEnd"/>
      <w:r w:rsidRPr="007E27A7">
        <w:rPr>
          <w:rFonts w:asciiTheme="minorHAnsi" w:hAnsiTheme="minorHAnsi"/>
          <w:sz w:val="22"/>
          <w:szCs w:val="22"/>
        </w:rPr>
        <w:t xml:space="preserve"> </w:t>
      </w:r>
      <w:proofErr w:type="spellStart"/>
      <w:r w:rsidRPr="007E27A7">
        <w:rPr>
          <w:rFonts w:asciiTheme="minorHAnsi" w:hAnsiTheme="minorHAnsi"/>
          <w:sz w:val="22"/>
          <w:szCs w:val="22"/>
        </w:rPr>
        <w:t>policy</w:t>
      </w:r>
      <w:proofErr w:type="spellEnd"/>
      <w:r w:rsidRPr="007E27A7">
        <w:rPr>
          <w:rFonts w:asciiTheme="minorHAnsi" w:hAnsiTheme="minorHAnsi"/>
          <w:sz w:val="22"/>
          <w:szCs w:val="22"/>
        </w:rPr>
        <w:t xml:space="preserve">).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Významným inkluzivním mechanismem bude zapojování osob sociálně vyloučených do rozhodování a do přímé realizace opatření na úrovni sousedství, vyloučené lokality, obce, města či mikroregionu, s využitím metod komunitní práce.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Dojde ke zlepšení, případně k obnově schopnosti sociálního fungování jednotlivců, skupin či komunit prostřednictvím sociální práce jako profesionální aktivity.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Pro úspěch integračních politik je nutné zvýšit i dostupnost bydlení a podpořit programy komplexní podpory pro jeho udržení a získání. Bydlení bude proto propojováno s programy na podporu klientů v udržitelném hospodaření, oddlužování, zvyšování kvalifikace a hledání zaměstnání.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Zvýší se kvalita života ohrožených dětí a jejich rodin, včetně jejich uplatnitelnosti na trhu práce a ve společnosti prostřednictvím efektivních programů sociálně právní ochrany dětí.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Zvýšená pozornost bude věnována situaci v sociálně vyloučených lokalitách, bude zde využíváno co nejširší spektrum nástrojů pro prevenci a řešení problémů.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Na základě vyhodnocení zkušeností z období 2007-2013 i z debat na evropské úrovni29 bude při zaměření intervencí na zlepšení situace romské menšiny podpořen tzv. „explicitní, nikoliv exkluzivní přístup“, který ve vztahu k romské inkluzi zahrnuje i další skupiny nacházející se ve stejných/srovnatelných </w:t>
      </w:r>
      <w:proofErr w:type="spellStart"/>
      <w:r w:rsidRPr="007E27A7">
        <w:rPr>
          <w:rFonts w:asciiTheme="minorHAnsi" w:hAnsiTheme="minorHAnsi"/>
          <w:sz w:val="22"/>
          <w:szCs w:val="22"/>
        </w:rPr>
        <w:t>socio</w:t>
      </w:r>
      <w:proofErr w:type="spellEnd"/>
      <w:r w:rsidRPr="007E27A7">
        <w:rPr>
          <w:rFonts w:asciiTheme="minorHAnsi" w:hAnsiTheme="minorHAnsi"/>
          <w:sz w:val="22"/>
          <w:szCs w:val="22"/>
        </w:rPr>
        <w:t xml:space="preserve">-ekonomických podmínkách. Služby budou poskytovány osobám ohroženým sociálním vyloučením nebo sociálně vyloučených bez rozdílu, ne na základě etnické příslušnosti.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Indikátory výsledku </w:t>
      </w:r>
    </w:p>
    <w:p w:rsidR="00151522" w:rsidRPr="007E27A7" w:rsidRDefault="00151522" w:rsidP="007E27A7">
      <w:pPr>
        <w:spacing w:after="120" w:line="240" w:lineRule="auto"/>
        <w:jc w:val="both"/>
      </w:pPr>
      <w:r w:rsidRPr="007E27A7">
        <w:t>Všechny níže uvedené indikátory jsou při výpočtu dále členěny dle pohlaví a charakteristik uvedených v kapitole o výstupových indikátorech (2.2.3.5), která vychází z přílohy 1 nařízení o ESF. V případě, že specifický cíl, ke kterému se indikátory vztahují, specifikuje cílovou skupinu dle věku či pohlaví, tak k němu náležící indikátory se vztahují taktéž pouze k této cílové skupině.</w:t>
      </w:r>
    </w:p>
    <w:p w:rsidR="00151522" w:rsidRPr="007E27A7" w:rsidRDefault="00C73BCB" w:rsidP="007E27A7">
      <w:pPr>
        <w:spacing w:after="120" w:line="240" w:lineRule="auto"/>
        <w:jc w:val="both"/>
      </w:pPr>
      <w:r w:rsidRPr="007E27A7">
        <w:rPr>
          <w:noProof/>
          <w:lang w:eastAsia="cs-CZ"/>
        </w:rPr>
        <w:drawing>
          <wp:inline distT="0" distB="0" distL="0" distR="0" wp14:anchorId="5A89B573" wp14:editId="7002EF91">
            <wp:extent cx="4646939" cy="3093058"/>
            <wp:effectExtent l="0" t="0" r="127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6824" cy="3092981"/>
                    </a:xfrm>
                    <a:prstGeom prst="rect">
                      <a:avLst/>
                    </a:prstGeom>
                    <a:noFill/>
                    <a:ln>
                      <a:noFill/>
                    </a:ln>
                  </pic:spPr>
                </pic:pic>
              </a:graphicData>
            </a:graphic>
          </wp:inline>
        </w:drawing>
      </w:r>
    </w:p>
    <w:p w:rsidR="00C73BCB" w:rsidRPr="007E27A7" w:rsidRDefault="00C73BCB" w:rsidP="007E27A7">
      <w:pPr>
        <w:spacing w:after="120" w:line="240" w:lineRule="auto"/>
        <w:jc w:val="both"/>
      </w:pPr>
      <w:r w:rsidRPr="007E27A7">
        <w:rPr>
          <w:noProof/>
          <w:lang w:eastAsia="cs-CZ"/>
        </w:rPr>
        <w:lastRenderedPageBreak/>
        <w:drawing>
          <wp:inline distT="0" distB="0" distL="0" distR="0" wp14:anchorId="3BAD7201" wp14:editId="07FB7299">
            <wp:extent cx="5057140" cy="35464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140" cy="3546475"/>
                    </a:xfrm>
                    <a:prstGeom prst="rect">
                      <a:avLst/>
                    </a:prstGeom>
                    <a:noFill/>
                    <a:ln>
                      <a:noFill/>
                    </a:ln>
                  </pic:spPr>
                </pic:pic>
              </a:graphicData>
            </a:graphic>
          </wp:inline>
        </w:drawing>
      </w:r>
    </w:p>
    <w:p w:rsidR="00292C84" w:rsidRDefault="00292C84" w:rsidP="007E27A7">
      <w:pPr>
        <w:pStyle w:val="Default"/>
        <w:spacing w:after="120"/>
        <w:jc w:val="both"/>
        <w:rPr>
          <w:rFonts w:asciiTheme="minorHAnsi" w:hAnsiTheme="minorHAnsi"/>
          <w:b/>
          <w:bCs/>
          <w:sz w:val="22"/>
          <w:szCs w:val="22"/>
        </w:rPr>
      </w:pP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2.2.3 Podporované aktivity v rámci investiční priority 2.1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b/>
          <w:bCs/>
          <w:i/>
          <w:iCs/>
          <w:sz w:val="22"/>
          <w:szCs w:val="22"/>
        </w:rPr>
        <w:t xml:space="preserve">2.2.3.1 Popis typů a příkladů financovaných aktivit a jejich očekávaný příspěvek ke specifickým cílům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Za účelem dosažení stanovených specifických cílů budou podporovány zejména níže uvedené aktivity, které jsou navržené jako příspěvek k řešení příčin problémů identifikovaných v kap. 1.1 v části Sociální začleňování. Všechna opatření/aktivity směřují ke zvýšení kompetencí osob ohrožených sociálním vyloučením a sociálně vyloučených tak, aby se mohly lépe uplatnit ve společnosti a na trhu práce. </w:t>
      </w:r>
    </w:p>
    <w:p w:rsidR="00151522" w:rsidRPr="007E27A7" w:rsidRDefault="00151522" w:rsidP="007E27A7">
      <w:pPr>
        <w:pStyle w:val="Default"/>
        <w:spacing w:after="120"/>
        <w:jc w:val="both"/>
        <w:rPr>
          <w:rFonts w:asciiTheme="minorHAnsi" w:hAnsiTheme="minorHAnsi"/>
          <w:sz w:val="22"/>
          <w:szCs w:val="22"/>
        </w:rPr>
      </w:pPr>
      <w:r w:rsidRPr="007E27A7">
        <w:rPr>
          <w:rFonts w:asciiTheme="minorHAnsi" w:hAnsiTheme="minorHAnsi"/>
          <w:i/>
          <w:iCs/>
          <w:sz w:val="22"/>
          <w:szCs w:val="22"/>
        </w:rPr>
        <w:t xml:space="preserve">Aktivity v rámci specifického cíle 2.1.1: </w:t>
      </w:r>
    </w:p>
    <w:p w:rsidR="00151522" w:rsidRPr="007E27A7" w:rsidRDefault="00151522" w:rsidP="00292C84">
      <w:pPr>
        <w:pStyle w:val="Default"/>
        <w:numPr>
          <w:ilvl w:val="0"/>
          <w:numId w:val="2"/>
        </w:numPr>
        <w:spacing w:after="120"/>
        <w:jc w:val="both"/>
        <w:rPr>
          <w:rFonts w:asciiTheme="minorHAnsi" w:hAnsiTheme="minorHAnsi"/>
          <w:sz w:val="22"/>
          <w:szCs w:val="22"/>
        </w:rPr>
      </w:pPr>
      <w:r w:rsidRPr="007E27A7">
        <w:rPr>
          <w:rFonts w:asciiTheme="minorHAnsi" w:hAnsiTheme="minorHAnsi"/>
          <w:sz w:val="22"/>
          <w:szCs w:val="22"/>
        </w:rPr>
        <w:t xml:space="preserve">Podpora sociálního začleňování osob a skupin osob sociálně vyloučených či sociálním vyloučením ohrožených prostřednictvím sociálních služeb, služeb pro rodiny a děti a dalších služeb obecného zájmu se zaměřením na zapojení těchto osob do ekonomického, sociálního, pracovního života společnosti; </w:t>
      </w:r>
    </w:p>
    <w:p w:rsidR="00151522" w:rsidRPr="007E27A7" w:rsidRDefault="00151522" w:rsidP="00292C84">
      <w:pPr>
        <w:pStyle w:val="Default"/>
        <w:numPr>
          <w:ilvl w:val="0"/>
          <w:numId w:val="2"/>
        </w:numPr>
        <w:spacing w:after="120"/>
        <w:jc w:val="both"/>
        <w:rPr>
          <w:rFonts w:asciiTheme="minorHAnsi" w:hAnsiTheme="minorHAnsi"/>
          <w:sz w:val="22"/>
          <w:szCs w:val="22"/>
        </w:rPr>
      </w:pPr>
      <w:r w:rsidRPr="007E27A7">
        <w:rPr>
          <w:rFonts w:asciiTheme="minorHAnsi" w:hAnsiTheme="minorHAnsi"/>
          <w:sz w:val="22"/>
          <w:szCs w:val="22"/>
        </w:rPr>
        <w:t xml:space="preserve">Podpora služeb poskytovaných terénní a ambulantní formou, podpora komunitní sociální práce; podpora specifických nástrojů k prevenci a řešení problémů v sociálně vyloučených lokalitách, zejména komunitní práce včetně podpory koordinační role obcí v této oblasti; </w:t>
      </w:r>
    </w:p>
    <w:p w:rsidR="00151522" w:rsidRPr="007E27A7" w:rsidRDefault="00151522" w:rsidP="00292C84">
      <w:pPr>
        <w:pStyle w:val="Default"/>
        <w:numPr>
          <w:ilvl w:val="0"/>
          <w:numId w:val="2"/>
        </w:numPr>
        <w:spacing w:after="120"/>
        <w:jc w:val="both"/>
        <w:rPr>
          <w:rFonts w:asciiTheme="minorHAnsi" w:hAnsiTheme="minorHAnsi"/>
          <w:sz w:val="22"/>
          <w:szCs w:val="22"/>
        </w:rPr>
      </w:pPr>
      <w:r w:rsidRPr="007E27A7">
        <w:rPr>
          <w:rFonts w:asciiTheme="minorHAnsi" w:hAnsiTheme="minorHAnsi"/>
          <w:sz w:val="22"/>
          <w:szCs w:val="22"/>
        </w:rPr>
        <w:t xml:space="preserve">Propojování podpory v oblasti bydlení, zaměstnání, sociální práce a zdravotní péče; podpora partnerských projektů v sociální oblasti propojující různé úrovně veřejné správy a další instituce; posilování informovanosti a efektivní komunikace o problematice sociálního vyloučení u všech relevantních aktérů; </w:t>
      </w:r>
    </w:p>
    <w:p w:rsidR="00806299" w:rsidRPr="00292C84" w:rsidRDefault="00806299" w:rsidP="00292C84">
      <w:pPr>
        <w:pStyle w:val="Odstavecseseznamem"/>
        <w:numPr>
          <w:ilvl w:val="0"/>
          <w:numId w:val="2"/>
        </w:numPr>
        <w:autoSpaceDE w:val="0"/>
        <w:autoSpaceDN w:val="0"/>
        <w:adjustRightInd w:val="0"/>
        <w:spacing w:after="120" w:line="240" w:lineRule="auto"/>
        <w:jc w:val="both"/>
        <w:rPr>
          <w:rFonts w:cs="Arial"/>
          <w:color w:val="000000"/>
        </w:rPr>
      </w:pPr>
      <w:r w:rsidRPr="00292C84">
        <w:rPr>
          <w:rFonts w:cs="Arial"/>
          <w:color w:val="000000"/>
        </w:rPr>
        <w:t xml:space="preserve">Podpora profesionální realizace sociální práce jako aktivity zaměřené na pomoc jednotlivcům, skupinám či komunitám zlepšit nebo obnovit jejich schopnost sociálního fungování v jejich přirozeném prostředí (podpora využití specifických metod a technik sociální práce a individualizovaného přístupu, podpora výkonu sociální práce se zaměřením na identifikaci a potřeb osob sociálně vyloučených či sociálním vyloučením ohrožených na </w:t>
      </w:r>
      <w:r w:rsidRPr="00292C84">
        <w:rPr>
          <w:rFonts w:cs="Arial"/>
          <w:color w:val="000000"/>
        </w:rPr>
        <w:lastRenderedPageBreak/>
        <w:t xml:space="preserve">úrovni odborných postupů při případové práci, metodické činnosti a koordinaci nástrojů pomoci, apod.); </w:t>
      </w:r>
    </w:p>
    <w:p w:rsidR="00806299" w:rsidRPr="00292C84" w:rsidRDefault="00806299" w:rsidP="00292C84">
      <w:pPr>
        <w:pStyle w:val="Odstavecseseznamem"/>
        <w:numPr>
          <w:ilvl w:val="0"/>
          <w:numId w:val="2"/>
        </w:numPr>
        <w:autoSpaceDE w:val="0"/>
        <w:autoSpaceDN w:val="0"/>
        <w:adjustRightInd w:val="0"/>
        <w:spacing w:after="120" w:line="240" w:lineRule="auto"/>
        <w:jc w:val="both"/>
        <w:rPr>
          <w:rFonts w:cs="Arial"/>
          <w:color w:val="000000"/>
        </w:rPr>
      </w:pPr>
      <w:r w:rsidRPr="00292C84">
        <w:rPr>
          <w:rFonts w:cs="Arial"/>
          <w:color w:val="000000"/>
        </w:rPr>
        <w:t xml:space="preserve">Vzdělávání a poradenství, aktivizační, asistenční a motivační programy (na podporu rodičovských kompetencí, získávání základních sociálních a profesních dovedností, uplatnění se na trhu práce, společenského začlenění osob vystavených institucionalizaci – zvládání zátěží běžného života, programy na učení se hodnotám v oblasti svobody a odpovědnosti jednotlivce, apod.); </w:t>
      </w:r>
    </w:p>
    <w:p w:rsidR="00806299" w:rsidRPr="00292C84" w:rsidRDefault="00806299" w:rsidP="00292C84">
      <w:pPr>
        <w:pStyle w:val="Odstavecseseznamem"/>
        <w:numPr>
          <w:ilvl w:val="0"/>
          <w:numId w:val="2"/>
        </w:numPr>
        <w:autoSpaceDE w:val="0"/>
        <w:autoSpaceDN w:val="0"/>
        <w:adjustRightInd w:val="0"/>
        <w:spacing w:after="120" w:line="240" w:lineRule="auto"/>
        <w:jc w:val="both"/>
        <w:rPr>
          <w:rFonts w:cs="Arial"/>
          <w:color w:val="000000"/>
        </w:rPr>
      </w:pPr>
      <w:r w:rsidRPr="00292C84">
        <w:rPr>
          <w:rFonts w:cs="Arial"/>
          <w:color w:val="000000"/>
        </w:rPr>
        <w:t xml:space="preserve">Programy právní a finanční gramotnosti a na prevenci a řešení zadluženosti a předluženosti (včetně poradenství); </w:t>
      </w:r>
    </w:p>
    <w:p w:rsidR="00806299" w:rsidRPr="00292C84" w:rsidRDefault="00806299" w:rsidP="00292C84">
      <w:pPr>
        <w:pStyle w:val="Odstavecseseznamem"/>
        <w:numPr>
          <w:ilvl w:val="0"/>
          <w:numId w:val="2"/>
        </w:numPr>
        <w:autoSpaceDE w:val="0"/>
        <w:autoSpaceDN w:val="0"/>
        <w:adjustRightInd w:val="0"/>
        <w:spacing w:after="120" w:line="240" w:lineRule="auto"/>
        <w:jc w:val="both"/>
        <w:rPr>
          <w:rFonts w:cs="Arial"/>
          <w:color w:val="000000"/>
        </w:rPr>
      </w:pPr>
      <w:r w:rsidRPr="00292C84">
        <w:rPr>
          <w:rFonts w:cs="Arial"/>
          <w:color w:val="000000"/>
        </w:rPr>
        <w:t xml:space="preserve">Podpora dobrovolnictví při činnostech vedoucích k aktivnímu začleňování a zvýšení zaměstnatelnosti; </w:t>
      </w:r>
    </w:p>
    <w:p w:rsidR="00806299" w:rsidRPr="00292C84" w:rsidRDefault="00806299" w:rsidP="00292C84">
      <w:pPr>
        <w:pStyle w:val="Odstavecseseznamem"/>
        <w:numPr>
          <w:ilvl w:val="0"/>
          <w:numId w:val="2"/>
        </w:numPr>
        <w:autoSpaceDE w:val="0"/>
        <w:autoSpaceDN w:val="0"/>
        <w:adjustRightInd w:val="0"/>
        <w:spacing w:after="120" w:line="240" w:lineRule="auto"/>
        <w:jc w:val="both"/>
        <w:rPr>
          <w:rFonts w:cs="Arial"/>
          <w:color w:val="000000"/>
        </w:rPr>
      </w:pPr>
      <w:r w:rsidRPr="00292C84">
        <w:rPr>
          <w:rFonts w:cs="Arial"/>
          <w:color w:val="000000"/>
        </w:rPr>
        <w:t xml:space="preserve">Programy na podporu aktivního a zdravého stárnutí (např. opatření na podporu zvýšení zaměstnanosti a společenského uplatnění starších osob, zvýšení povědomí společnosti o stárnutí, mezigenerační dialog, rozvoj </w:t>
      </w:r>
      <w:proofErr w:type="spellStart"/>
      <w:r w:rsidRPr="00292C84">
        <w:rPr>
          <w:rFonts w:cs="Arial"/>
          <w:color w:val="000000"/>
        </w:rPr>
        <w:t>asistivních</w:t>
      </w:r>
      <w:proofErr w:type="spellEnd"/>
      <w:r w:rsidRPr="00292C84">
        <w:rPr>
          <w:rFonts w:cs="Arial"/>
          <w:color w:val="000000"/>
        </w:rPr>
        <w:t xml:space="preserve"> technologií); </w:t>
      </w:r>
    </w:p>
    <w:p w:rsidR="00806299" w:rsidRPr="00292C84" w:rsidRDefault="00806299" w:rsidP="00292C84">
      <w:pPr>
        <w:pStyle w:val="Odstavecseseznamem"/>
        <w:numPr>
          <w:ilvl w:val="0"/>
          <w:numId w:val="2"/>
        </w:numPr>
        <w:autoSpaceDE w:val="0"/>
        <w:autoSpaceDN w:val="0"/>
        <w:adjustRightInd w:val="0"/>
        <w:spacing w:after="120" w:line="240" w:lineRule="auto"/>
        <w:jc w:val="both"/>
        <w:rPr>
          <w:rFonts w:cs="Arial"/>
          <w:color w:val="000000"/>
        </w:rPr>
      </w:pPr>
      <w:r w:rsidRPr="00292C84">
        <w:rPr>
          <w:rFonts w:cs="Arial"/>
          <w:color w:val="000000"/>
        </w:rPr>
        <w:t xml:space="preserve">Programy prevence sociálně patologických jevů a prevence kriminality; programy pro osoby opouštějící zařízení pro výkon trestu odnětí svobody, pro osoby ve výkonu trestu, probační a resocializační programy; programy sociálně právní ochrany osob; </w:t>
      </w:r>
    </w:p>
    <w:p w:rsidR="00806299" w:rsidRPr="00292C84" w:rsidRDefault="00806299" w:rsidP="00292C84">
      <w:pPr>
        <w:pStyle w:val="Odstavecseseznamem"/>
        <w:numPr>
          <w:ilvl w:val="0"/>
          <w:numId w:val="2"/>
        </w:numPr>
        <w:autoSpaceDE w:val="0"/>
        <w:autoSpaceDN w:val="0"/>
        <w:adjustRightInd w:val="0"/>
        <w:spacing w:after="120" w:line="240" w:lineRule="auto"/>
        <w:jc w:val="both"/>
        <w:rPr>
          <w:rFonts w:cs="Arial"/>
          <w:color w:val="000000"/>
        </w:rPr>
      </w:pPr>
      <w:r w:rsidRPr="00292C84">
        <w:rPr>
          <w:rFonts w:cs="Arial"/>
          <w:color w:val="000000"/>
        </w:rPr>
        <w:t xml:space="preserve">Programy sekundární a terciární prevence pro osoby ohrožené závislostmi nebo závislé na návykových látkách, programy pro osoby s chronickým duševním onemocněním (mimo zdravotnických služeb a péče); </w:t>
      </w:r>
    </w:p>
    <w:p w:rsidR="00806299" w:rsidRPr="00292C84" w:rsidRDefault="00806299" w:rsidP="00292C84">
      <w:pPr>
        <w:pStyle w:val="Odstavecseseznamem"/>
        <w:numPr>
          <w:ilvl w:val="0"/>
          <w:numId w:val="2"/>
        </w:numPr>
        <w:autoSpaceDE w:val="0"/>
        <w:autoSpaceDN w:val="0"/>
        <w:adjustRightInd w:val="0"/>
        <w:spacing w:after="120" w:line="240" w:lineRule="auto"/>
        <w:jc w:val="both"/>
        <w:rPr>
          <w:rFonts w:cs="Arial"/>
          <w:color w:val="000000"/>
        </w:rPr>
      </w:pPr>
      <w:r w:rsidRPr="00292C84">
        <w:rPr>
          <w:rFonts w:cs="Arial"/>
          <w:color w:val="000000"/>
        </w:rPr>
        <w:t xml:space="preserve">Zapojování osob ohrožených sociálním vyloučením nebo sociálně vyloučených do prevence a do rozhodovacích procesů na místní úrovni, podpora a rozvoj participativních metod práce s cílovou skupinou; </w:t>
      </w:r>
    </w:p>
    <w:p w:rsidR="00806299" w:rsidRPr="00292C84" w:rsidRDefault="00806299" w:rsidP="00292C84">
      <w:pPr>
        <w:pStyle w:val="Odstavecseseznamem"/>
        <w:numPr>
          <w:ilvl w:val="0"/>
          <w:numId w:val="2"/>
        </w:numPr>
        <w:autoSpaceDE w:val="0"/>
        <w:autoSpaceDN w:val="0"/>
        <w:adjustRightInd w:val="0"/>
        <w:spacing w:after="120" w:line="240" w:lineRule="auto"/>
        <w:jc w:val="both"/>
        <w:rPr>
          <w:rFonts w:cs="Arial"/>
          <w:color w:val="000000"/>
        </w:rPr>
      </w:pPr>
      <w:r w:rsidRPr="00292C84">
        <w:rPr>
          <w:rFonts w:cs="Arial"/>
          <w:color w:val="000000"/>
        </w:rPr>
        <w:t xml:space="preserve">Podpora mladým lidem ze sociálně znevýhodněného prostředí při vstupu do samostatného života a na trh práce po ukončení vzdělání (zejména pokud pocházejí ze sociálně znevýhodněného prostředí, náhradní rodinné péče nebo ústavní péče); </w:t>
      </w:r>
    </w:p>
    <w:p w:rsidR="00806299" w:rsidRPr="00292C84" w:rsidRDefault="00806299" w:rsidP="00292C84">
      <w:pPr>
        <w:pStyle w:val="Odstavecseseznamem"/>
        <w:numPr>
          <w:ilvl w:val="0"/>
          <w:numId w:val="2"/>
        </w:numPr>
        <w:autoSpaceDE w:val="0"/>
        <w:autoSpaceDN w:val="0"/>
        <w:adjustRightInd w:val="0"/>
        <w:spacing w:after="120" w:line="240" w:lineRule="auto"/>
        <w:jc w:val="both"/>
        <w:rPr>
          <w:rFonts w:cs="Arial"/>
          <w:color w:val="000000"/>
        </w:rPr>
      </w:pPr>
      <w:r w:rsidRPr="00292C84">
        <w:rPr>
          <w:rFonts w:cs="Arial"/>
          <w:color w:val="000000"/>
        </w:rPr>
        <w:t xml:space="preserve">Rozvoj aktivit, včetně vzdělávání a poradenství, na podporu neformální péče (tj. péče poskytované v rámci rodin nebo komunit osobami blízkými nebo jinými) a sdílené péče (tj. kombinace péče poskytované profesionálními poskytovateli neformálními pečovateli), včetně rozvoje domácí paliativní péče; </w:t>
      </w:r>
    </w:p>
    <w:p w:rsidR="00806299" w:rsidRPr="00292C84" w:rsidRDefault="00806299" w:rsidP="00292C84">
      <w:pPr>
        <w:pStyle w:val="Odstavecseseznamem"/>
        <w:numPr>
          <w:ilvl w:val="0"/>
          <w:numId w:val="2"/>
        </w:numPr>
        <w:autoSpaceDE w:val="0"/>
        <w:autoSpaceDN w:val="0"/>
        <w:adjustRightInd w:val="0"/>
        <w:spacing w:after="120" w:line="240" w:lineRule="auto"/>
        <w:jc w:val="both"/>
        <w:rPr>
          <w:rFonts w:cs="Arial"/>
          <w:color w:val="000000"/>
        </w:rPr>
      </w:pPr>
      <w:r w:rsidRPr="00292C84">
        <w:rPr>
          <w:rFonts w:cs="Arial"/>
          <w:color w:val="000000"/>
        </w:rPr>
        <w:t xml:space="preserve">Aktivity přispívající k boji s diskriminací na základě pohlaví, rasového, národnostního nebo etnického původu, víry nebo přesvědčení, zdravotního postižení, věku, sexuální orientace či jiného statutu (např. vzdělávací aktivity pro pracovníky a další osvětové aktivity zaměřené na </w:t>
      </w:r>
      <w:proofErr w:type="spellStart"/>
      <w:r w:rsidRPr="00292C84">
        <w:rPr>
          <w:rFonts w:cs="Arial"/>
          <w:color w:val="000000"/>
        </w:rPr>
        <w:t>destigmatizaci</w:t>
      </w:r>
      <w:proofErr w:type="spellEnd"/>
      <w:r w:rsidRPr="00292C84">
        <w:rPr>
          <w:rFonts w:cs="Arial"/>
          <w:color w:val="000000"/>
        </w:rPr>
        <w:t xml:space="preserve"> cílové skupiny, na informování o příčinách, formách diskriminace a způsobech prevence a odstraňování diskriminace, poskytování poradenství cílovým skupinám týkající se nediskriminace a rozvoj různých forem služeb pro oběti diskriminace); </w:t>
      </w:r>
    </w:p>
    <w:p w:rsidR="00806299" w:rsidRPr="00292C84" w:rsidRDefault="00806299" w:rsidP="00292C84">
      <w:pPr>
        <w:pStyle w:val="Odstavecseseznamem"/>
        <w:numPr>
          <w:ilvl w:val="0"/>
          <w:numId w:val="2"/>
        </w:numPr>
        <w:autoSpaceDE w:val="0"/>
        <w:autoSpaceDN w:val="0"/>
        <w:adjustRightInd w:val="0"/>
        <w:spacing w:after="120" w:line="240" w:lineRule="auto"/>
        <w:jc w:val="both"/>
        <w:rPr>
          <w:rFonts w:cs="Arial"/>
          <w:color w:val="000000"/>
        </w:rPr>
      </w:pPr>
      <w:r w:rsidRPr="00292C84">
        <w:rPr>
          <w:rFonts w:cs="Arial"/>
          <w:color w:val="000000"/>
        </w:rPr>
        <w:t xml:space="preserve">Podpora aktivit místních samospráv při optimalizaci pokrytí regionů sociálními službami, službami pro rodiny a děti a dalšími navazujícími službami podporujícími sociální začleňování osob v jejich přirozeném prostředí (včetně aktivit posilujících sociální kapitál, vzájemnost a sociální soudržnost v místě/komunitě); </w:t>
      </w:r>
    </w:p>
    <w:p w:rsidR="00806299" w:rsidRPr="007E27A7" w:rsidRDefault="00806299" w:rsidP="00292C84">
      <w:pPr>
        <w:pStyle w:val="Odstavecseseznamem"/>
        <w:numPr>
          <w:ilvl w:val="0"/>
          <w:numId w:val="2"/>
        </w:numPr>
        <w:autoSpaceDE w:val="0"/>
        <w:autoSpaceDN w:val="0"/>
        <w:adjustRightInd w:val="0"/>
        <w:spacing w:after="120" w:line="240" w:lineRule="auto"/>
        <w:jc w:val="both"/>
      </w:pPr>
      <w:r w:rsidRPr="00292C84">
        <w:rPr>
          <w:rFonts w:cs="Arial"/>
          <w:color w:val="000000"/>
        </w:rPr>
        <w:t xml:space="preserve">Podpora plánování sociální bytové politiky obcí, vznik a rozvoj nástrojů sociálního/dostupného/podporovaného bydlení jako prevence prostorového vyloučení, </w:t>
      </w:r>
      <w:r w:rsidRPr="007E27A7">
        <w:t xml:space="preserve">vzniku sociálně vyloučených lokalit a bezdomovectví (např. aktivity k zabránění nedobrovolnému vystěhování osob z bydlení, podpora nových metod sociální práce zaměřených na prevenci ztráty bydlení a znovu začlenění do bydlení); </w:t>
      </w:r>
    </w:p>
    <w:p w:rsidR="00292C84" w:rsidRDefault="00292C84" w:rsidP="00292C84">
      <w:pPr>
        <w:pStyle w:val="Default"/>
        <w:spacing w:after="120"/>
        <w:jc w:val="both"/>
        <w:rPr>
          <w:rFonts w:asciiTheme="minorHAnsi" w:hAnsiTheme="minorHAnsi"/>
          <w:i/>
          <w:iCs/>
          <w:sz w:val="22"/>
          <w:szCs w:val="22"/>
        </w:rPr>
      </w:pPr>
    </w:p>
    <w:p w:rsidR="00292C84" w:rsidRPr="007E27A7" w:rsidRDefault="00292C84" w:rsidP="00292C84">
      <w:pPr>
        <w:pStyle w:val="Default"/>
        <w:spacing w:after="120"/>
        <w:jc w:val="both"/>
        <w:rPr>
          <w:rFonts w:asciiTheme="minorHAnsi" w:hAnsiTheme="minorHAnsi"/>
          <w:sz w:val="22"/>
          <w:szCs w:val="22"/>
        </w:rPr>
      </w:pPr>
      <w:r w:rsidRPr="007E27A7">
        <w:rPr>
          <w:rFonts w:asciiTheme="minorHAnsi" w:hAnsiTheme="minorHAnsi"/>
          <w:i/>
          <w:iCs/>
          <w:sz w:val="22"/>
          <w:szCs w:val="22"/>
        </w:rPr>
        <w:t>Aktivity v rámci specifického cíle 2.1.</w:t>
      </w:r>
      <w:r>
        <w:rPr>
          <w:rFonts w:asciiTheme="minorHAnsi" w:hAnsiTheme="minorHAnsi"/>
          <w:i/>
          <w:iCs/>
          <w:sz w:val="22"/>
          <w:szCs w:val="22"/>
        </w:rPr>
        <w:t>2 vypuštěny – mimo IPRÚ</w:t>
      </w:r>
    </w:p>
    <w:p w:rsidR="00806299" w:rsidRPr="007E27A7" w:rsidRDefault="00806299" w:rsidP="007E27A7">
      <w:pPr>
        <w:pStyle w:val="Default"/>
        <w:spacing w:after="120"/>
        <w:jc w:val="both"/>
        <w:rPr>
          <w:rFonts w:asciiTheme="minorHAnsi" w:hAnsiTheme="minorHAnsi"/>
          <w:color w:val="auto"/>
          <w:sz w:val="22"/>
          <w:szCs w:val="22"/>
        </w:rPr>
      </w:pPr>
    </w:p>
    <w:p w:rsidR="00806299" w:rsidRPr="007E27A7" w:rsidRDefault="00806299" w:rsidP="007E27A7">
      <w:pPr>
        <w:pStyle w:val="Default"/>
        <w:spacing w:after="120"/>
        <w:jc w:val="both"/>
        <w:rPr>
          <w:rFonts w:asciiTheme="minorHAnsi" w:hAnsiTheme="minorHAnsi"/>
          <w:color w:val="auto"/>
          <w:sz w:val="22"/>
          <w:szCs w:val="22"/>
        </w:rPr>
      </w:pPr>
      <w:r w:rsidRPr="007E27A7">
        <w:rPr>
          <w:rFonts w:asciiTheme="minorHAnsi" w:hAnsiTheme="minorHAnsi"/>
          <w:color w:val="auto"/>
          <w:sz w:val="22"/>
          <w:szCs w:val="22"/>
        </w:rPr>
        <w:lastRenderedPageBreak/>
        <w:t xml:space="preserve">Na aktivity v této investiční prioritě navazují aktivity </w:t>
      </w:r>
      <w:r w:rsidRPr="007E27A7">
        <w:rPr>
          <w:rFonts w:asciiTheme="minorHAnsi" w:hAnsiTheme="minorHAnsi"/>
          <w:b/>
          <w:bCs/>
          <w:color w:val="auto"/>
          <w:sz w:val="22"/>
          <w:szCs w:val="22"/>
        </w:rPr>
        <w:t xml:space="preserve">v prioritní ose 2 IROP „Zkvalitnění veřejných služeb a podmínek života pro obyvatele regionů“ </w:t>
      </w:r>
      <w:r w:rsidRPr="007E27A7">
        <w:rPr>
          <w:rFonts w:asciiTheme="minorHAnsi" w:hAnsiTheme="minorHAnsi"/>
          <w:color w:val="auto"/>
          <w:sz w:val="22"/>
          <w:szCs w:val="22"/>
        </w:rPr>
        <w:t xml:space="preserve">zaměřené na sociální a zdravotní oblast. Smyslem podpory je zde vytvoření a zajištění standardních a nezbytných podmínek pro aktivní začleňování osob a sociálních skupin do společnosti. Evropský koncept aktivního začleňování vyloučených osob je prakticky založen na třech základních pilířích, a to na podpoře adekvátního příjmu, na inkluzivním trhu práce (přístup k zaměstnání) a na přístupu ke kvalitním službám (bydlení, vzdělání, zdravotní péče, doprava, sociální služby a služby zaměstnanosti aj.). V souladu s uvedeným konceptem vyvstává potřeba budovat infrastrukturu, posilovat absorpční kapacity komunitně založených služeb a podpořit výstavbu nových integračních komunitních center, přispět k začleňování sociálně vyloučených osob do společnosti prostřednictvím trhu práce a ke zvýšení dostupnosti a kvality základních zdrojů a služeb, vč. přístupu k bydlení (výstavba a rekonstrukce bytů pro účely sociálního, příp. podporovaného bydlení) a ke zdravotní péči. </w:t>
      </w:r>
    </w:p>
    <w:p w:rsidR="00806299" w:rsidRPr="007E27A7" w:rsidRDefault="00806299" w:rsidP="007E27A7">
      <w:pPr>
        <w:pStyle w:val="Default"/>
        <w:spacing w:after="120"/>
        <w:jc w:val="both"/>
        <w:rPr>
          <w:rFonts w:asciiTheme="minorHAnsi" w:hAnsiTheme="minorHAnsi"/>
          <w:color w:val="auto"/>
          <w:sz w:val="22"/>
          <w:szCs w:val="22"/>
        </w:rPr>
      </w:pPr>
      <w:r w:rsidRPr="007E27A7">
        <w:rPr>
          <w:rFonts w:asciiTheme="minorHAnsi" w:hAnsiTheme="minorHAnsi"/>
          <w:color w:val="auto"/>
          <w:sz w:val="22"/>
          <w:szCs w:val="22"/>
        </w:rPr>
        <w:t xml:space="preserve">V oblasti podpory sociálních podniků budou intervence IROP směrovány zejména na aktivity rozšiřování a inovace zázemí sociálních podniků, na investiční aktivity podporující orientaci sociálních podniků na lokální potřeby a zdroje. V rámci koordinace intervencí v dané oblasti mezi OPZ a IROP bude zabezpečeno, aby nedocházelo k překryvům a duplicitám. V projektech financovaných v OPZ z ESF bude umožněna podpora rovněž nezbytného zařízení a vybavení pro fungování sociálního podniku včetně možnosti využití křížového financování tak, aby příjemci mohli zahrnout celé potřebné spektrum aktivit do jednoho projektu. Naproti tomu v IROP budou podporovány zejména projekty zaměřené dominantně na investiční aktivity, které svým rozsahem přesahují možnosti financování z ESF. </w:t>
      </w:r>
    </w:p>
    <w:p w:rsidR="00806299" w:rsidRPr="007E27A7" w:rsidRDefault="00806299" w:rsidP="007E27A7">
      <w:pPr>
        <w:pStyle w:val="Default"/>
        <w:spacing w:after="120"/>
        <w:jc w:val="both"/>
        <w:rPr>
          <w:rFonts w:asciiTheme="minorHAnsi" w:hAnsiTheme="minorHAnsi"/>
          <w:color w:val="auto"/>
          <w:sz w:val="22"/>
          <w:szCs w:val="22"/>
        </w:rPr>
      </w:pPr>
      <w:r w:rsidRPr="007E27A7">
        <w:rPr>
          <w:rFonts w:asciiTheme="minorHAnsi" w:hAnsiTheme="minorHAnsi"/>
          <w:color w:val="auto"/>
          <w:sz w:val="22"/>
          <w:szCs w:val="22"/>
        </w:rPr>
        <w:t xml:space="preserve">Konkrétně se jedná o tyto investiční priority (IP) a specifické cíle (SC) IROP: </w:t>
      </w:r>
    </w:p>
    <w:p w:rsidR="00806299" w:rsidRPr="007E27A7" w:rsidRDefault="00806299" w:rsidP="007E27A7">
      <w:pPr>
        <w:pStyle w:val="Default"/>
        <w:spacing w:after="120"/>
        <w:jc w:val="both"/>
        <w:rPr>
          <w:rFonts w:asciiTheme="minorHAnsi" w:hAnsiTheme="minorHAnsi"/>
          <w:color w:val="auto"/>
          <w:sz w:val="22"/>
          <w:szCs w:val="22"/>
        </w:rPr>
      </w:pPr>
      <w:r w:rsidRPr="007E27A7">
        <w:rPr>
          <w:rFonts w:asciiTheme="minorHAnsi" w:hAnsiTheme="minorHAnsi"/>
          <w:b/>
          <w:bCs/>
          <w:color w:val="auto"/>
          <w:sz w:val="22"/>
          <w:szCs w:val="22"/>
        </w:rPr>
        <w:t>IP 9a: Investice do zdravotnické a sociální infrastruktury, které přispívají k celostátnímu, regionálnímu a místnímu rozvoji, snižováním nerovností, pokud jde o zdravotní stav, podporou sociálního začlenění díky lepšímu přístupu k sociálním, kulturním a rekreačním službám a přechodem od institucionálních ke komunitním službám</w:t>
      </w:r>
      <w:r w:rsidRPr="007E27A7">
        <w:rPr>
          <w:rFonts w:asciiTheme="minorHAnsi" w:hAnsiTheme="minorHAnsi"/>
          <w:color w:val="auto"/>
          <w:sz w:val="22"/>
          <w:szCs w:val="22"/>
        </w:rPr>
        <w:t xml:space="preserve">: </w:t>
      </w:r>
    </w:p>
    <w:p w:rsidR="00806299" w:rsidRPr="007E27A7" w:rsidRDefault="00806299" w:rsidP="007E27A7">
      <w:pPr>
        <w:pStyle w:val="Default"/>
        <w:spacing w:after="120"/>
        <w:jc w:val="both"/>
        <w:rPr>
          <w:rFonts w:asciiTheme="minorHAnsi" w:hAnsiTheme="minorHAnsi"/>
          <w:color w:val="auto"/>
          <w:sz w:val="22"/>
          <w:szCs w:val="22"/>
        </w:rPr>
      </w:pPr>
      <w:r w:rsidRPr="007E27A7">
        <w:rPr>
          <w:rFonts w:asciiTheme="minorHAnsi" w:hAnsiTheme="minorHAnsi"/>
          <w:color w:val="auto"/>
          <w:sz w:val="22"/>
          <w:szCs w:val="22"/>
        </w:rPr>
        <w:t xml:space="preserve">SC 2.1 – Zvýšení kvality a dostupnosti služeb vedoucí k sociální inkluzi </w:t>
      </w:r>
    </w:p>
    <w:p w:rsidR="00151522" w:rsidRPr="007E27A7" w:rsidRDefault="00806299" w:rsidP="007E27A7">
      <w:pPr>
        <w:spacing w:after="120" w:line="240" w:lineRule="auto"/>
        <w:jc w:val="both"/>
      </w:pPr>
      <w:r w:rsidRPr="007E27A7">
        <w:rPr>
          <w:b/>
          <w:bCs/>
        </w:rPr>
        <w:t>IP 9c: Poskytování podpory sociálním podnikům</w:t>
      </w:r>
      <w:r w:rsidRPr="007E27A7">
        <w:t>:</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SC 2.2 – Vznik nových a rozvoj existujících podnikatelských aktivit v oblasti sociálního podnikání. </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Na aktivity v této investiční prioritě navazují také aktivity </w:t>
      </w:r>
      <w:r w:rsidRPr="007E27A7">
        <w:rPr>
          <w:rFonts w:asciiTheme="minorHAnsi" w:hAnsiTheme="minorHAnsi"/>
          <w:b/>
          <w:bCs/>
          <w:sz w:val="22"/>
          <w:szCs w:val="22"/>
        </w:rPr>
        <w:t>v prioritní ose 3 OP VVV „Rovný přístup ke kvalitnímu předškolnímu, primárnímu a sekundárnímu vzdělávání“</w:t>
      </w:r>
      <w:r w:rsidRPr="007E27A7">
        <w:rPr>
          <w:rFonts w:asciiTheme="minorHAnsi" w:hAnsiTheme="minorHAnsi"/>
          <w:sz w:val="22"/>
          <w:szCs w:val="22"/>
        </w:rPr>
        <w:t xml:space="preserve">, které jsou zaměřené mj. na zvýšení kvality předškolního vzdělávání a spolupráci MŠ a prvního stupně ZŠ, na usnadnění přechodu dětí na ZŠ prostřednictvím zkvalitnění kvalifikace pedagogických pracovníků i dalších vzdělavatelů; na rozvoj klíčových kompetencí na školách, na hodnocení a strategické řízení vzdělávání, na posilování kompetencí pro vzdělávání dětí se SVP a na zkvalitnění pedagogické diagnostiky pro stanovení vzdělávacích potřeb a individuální rozvoj (transformace systému pedagogicko-psychologického poradenství apod.) a dále na zkvalitnění vzdělávání zejména v obcích se sociálně vyloučenými lokalitami, na zvýšení počtu </w:t>
      </w:r>
      <w:proofErr w:type="spellStart"/>
      <w:r w:rsidRPr="007E27A7">
        <w:rPr>
          <w:rFonts w:asciiTheme="minorHAnsi" w:hAnsiTheme="minorHAnsi"/>
          <w:sz w:val="22"/>
          <w:szCs w:val="22"/>
        </w:rPr>
        <w:t>proinkluzivně</w:t>
      </w:r>
      <w:proofErr w:type="spellEnd"/>
      <w:r w:rsidRPr="007E27A7">
        <w:rPr>
          <w:rFonts w:asciiTheme="minorHAnsi" w:hAnsiTheme="minorHAnsi"/>
          <w:sz w:val="22"/>
          <w:szCs w:val="22"/>
        </w:rPr>
        <w:t xml:space="preserve"> nastavených běžných škol a školských zařízení. </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Konkrétně se jedná o tyto investiční priority (IP) a specifické cíle (SC) OP VVV: </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IP 3.1: Omezování a prevence předčasného ukončování školní docházky a podpora rovného přístupu ke kvalitním programům předškolního rozvoje, k primárnímu a sekundárnímu vzdělávání, možnostem formálního a neformálního vzdělávání, které umožňuje zpětné začlenění do procesu vzdělávání a odborné přípravy </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SC 1 – Zvýšení kvality předškolního vzdělávání včetně usnadnění přechodu dětí na ZŠ </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SC 2 – Zlepšení kvality vzdělávání a výsledků žáků v klíčových kompetencích </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SC 3 – Rozvoj systému strategického řízení a hodnocení kvality ve vzdělávání </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b/>
          <w:bCs/>
          <w:sz w:val="22"/>
          <w:szCs w:val="22"/>
        </w:rPr>
        <w:lastRenderedPageBreak/>
        <w:t xml:space="preserve">IP 3.2: Boj proti všem formám diskriminace a prosazování rovných příležitostí </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SC 1 – Kvalitní podmínky pro inkluzívní vzdělávání </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IP 3.3: </w:t>
      </w:r>
      <w:proofErr w:type="spellStart"/>
      <w:r w:rsidRPr="007E27A7">
        <w:rPr>
          <w:rFonts w:asciiTheme="minorHAnsi" w:hAnsiTheme="minorHAnsi"/>
          <w:b/>
          <w:bCs/>
          <w:sz w:val="22"/>
          <w:szCs w:val="22"/>
        </w:rPr>
        <w:t>Socio</w:t>
      </w:r>
      <w:proofErr w:type="spellEnd"/>
      <w:r w:rsidRPr="007E27A7">
        <w:rPr>
          <w:rFonts w:asciiTheme="minorHAnsi" w:hAnsiTheme="minorHAnsi"/>
          <w:b/>
          <w:bCs/>
          <w:sz w:val="22"/>
          <w:szCs w:val="22"/>
        </w:rPr>
        <w:t xml:space="preserve">- ekonomická integrace </w:t>
      </w:r>
      <w:proofErr w:type="spellStart"/>
      <w:r w:rsidRPr="007E27A7">
        <w:rPr>
          <w:rFonts w:asciiTheme="minorHAnsi" w:hAnsiTheme="minorHAnsi"/>
          <w:b/>
          <w:bCs/>
          <w:sz w:val="22"/>
          <w:szCs w:val="22"/>
        </w:rPr>
        <w:t>marginalizovaných</w:t>
      </w:r>
      <w:proofErr w:type="spellEnd"/>
      <w:r w:rsidRPr="007E27A7">
        <w:rPr>
          <w:rFonts w:asciiTheme="minorHAnsi" w:hAnsiTheme="minorHAnsi"/>
          <w:b/>
          <w:bCs/>
          <w:sz w:val="22"/>
          <w:szCs w:val="22"/>
        </w:rPr>
        <w:t xml:space="preserve"> skupin, jako jsou Romové </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SC 1 – Sociální integrace dětí a žáků včetně začleňování romských dětí do vzdělávání </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S aktivitami v této investiční prioritě jsou komplementární také aktivity </w:t>
      </w:r>
      <w:r w:rsidRPr="007E27A7">
        <w:rPr>
          <w:rFonts w:asciiTheme="minorHAnsi" w:hAnsiTheme="minorHAnsi"/>
          <w:b/>
          <w:bCs/>
          <w:sz w:val="22"/>
          <w:szCs w:val="22"/>
        </w:rPr>
        <w:t xml:space="preserve">v prioritní ose 3 OP PPR „Podpora sociálního začleňování a boj proti chudobě“ </w:t>
      </w:r>
      <w:r w:rsidRPr="007E27A7">
        <w:rPr>
          <w:rFonts w:asciiTheme="minorHAnsi" w:hAnsiTheme="minorHAnsi"/>
          <w:sz w:val="22"/>
          <w:szCs w:val="22"/>
        </w:rPr>
        <w:t xml:space="preserve">zaměřené zejména na rozvoj kulturně komunitních center a projektů sociálně-kulturní integrace a na podporu sociálních podniků. </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Konkrétně se jedná o tyto investiční priority (IP) a specifické cíle (SC) OP PPR: </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IP 1 (9a): Investice do zdravotnické a sociální infrastruktury, které přispívají k celostátnímu, regionálnímu a místnímu rozvoji, snižováním nerovností, pokud jde o zdravotní stav, podporou sociálního začlenění díky lepšímu přístupu k sociálním, kulturním a rekreačním službám a přechodem od institucionálních ke komunitním službám </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SC 3.1 – Posílení sociální infrastruktury pro integraci, komunitní služby a prevenci </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IP 2 (9c): Poskytování podpory sociálním podnikům </w:t>
      </w:r>
    </w:p>
    <w:p w:rsidR="00806299" w:rsidRPr="007E27A7" w:rsidRDefault="00806299"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SC 3.2 – Posílená infrastruktura pro sociální podnikání </w:t>
      </w:r>
    </w:p>
    <w:p w:rsidR="00806299" w:rsidRPr="007E27A7" w:rsidRDefault="00806299" w:rsidP="007E27A7">
      <w:pPr>
        <w:spacing w:after="120" w:line="240" w:lineRule="auto"/>
        <w:jc w:val="both"/>
      </w:pPr>
      <w:r w:rsidRPr="007E27A7">
        <w:rPr>
          <w:b/>
          <w:bCs/>
        </w:rPr>
        <w:t>IP 3: Zlepšování přístupu k dostupným, udržitelným a vysoce kvalitním službám, včetně zdravotnictví a sociálních služeb obecného zájmu</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SC 3.3 – Posílení aktivit pro integraci, komunitní služby a prevenci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Identifikace hlavních cílových skupin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Cílové skupiny zahrnují především osoby sociálně vyloučené a osoby sociálním vyloučením ohrožené</w:t>
      </w:r>
      <w:r w:rsidRPr="007E27A7">
        <w:rPr>
          <w:rFonts w:asciiTheme="minorHAnsi" w:hAnsiTheme="minorHAnsi"/>
          <w:sz w:val="22"/>
          <w:szCs w:val="22"/>
        </w:rPr>
        <w:t xml:space="preserve">, zejména znevýhodněné skupiny obyvatel - osoby se zdravotním postižením (včetně osob s duševním onemocněním), s kombinovanými diagnózami, seniory, osoby žijící v sociálně vyloučených lokalitách, etnické menšiny (zejména Romové), imigranti, bezdomovci a osoby žijící v nevyhovujícím nebo nejistém ubytování, oběti trestné činnosti, osoby pečující o malé děti či osobu blízkou, rodiče samoživitelé, rodiny s dětmi ohrožené chudobou, rodiče s dětmi do 15 let věku se sociálním a zdravotním znevýhodněním, osoby dlouhodobě či opakovaně nezaměstnané, ohrožené předlužeností, domácím násilím a závislostmi, osoby ve nebo po výkonu trestu, osoby opouštějící institucionální zařízení, osoby žijící v oblastech se ztíženým přístupem ke zdravotní péči a další. V rámci uvedených cílových skupin je třeba specifickou pozornost věnovat osobám do 18 let věku (se speciálními vzdělávacími potřebami, ohrožené umístěním do institucionální výchovy, vyrůstající v rodinách ohrožených chudobou nebo nefunkčních rodinách, v náhradní rodinné péči apod.) a také osobám ohroženým vícenásobnými riziky.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Cílové skupiny z hlediska zdravotního – osoby ohrožené specifickými zdravotními riziky (nezdravým životním stylem, závislostmi, žijící v oblastech s vyšším výskytem specifických zdravotních rizik, ve vyloučených lokalitách a v regionech ohrožených chudobou).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sz w:val="22"/>
          <w:szCs w:val="22"/>
        </w:rPr>
        <w:t>Cílovou skupinou jsou také poskytovatelé a zadavatelé sociálních, zdravotních služeb, služeb pro rodiny a děti a dalších služeb na pod</w:t>
      </w:r>
      <w:bookmarkStart w:id="0" w:name="_GoBack"/>
      <w:bookmarkEnd w:id="0"/>
      <w:r w:rsidRPr="007E27A7">
        <w:rPr>
          <w:rFonts w:asciiTheme="minorHAnsi" w:hAnsiTheme="minorHAnsi"/>
          <w:sz w:val="22"/>
          <w:szCs w:val="22"/>
        </w:rPr>
        <w:t xml:space="preserve">poru sociálního začleňování, dále místní samosprávy, sociální pracovníci, pracovníci ve službách, neformální pečovatelé, pracovníci poskytovatelů psychiatrické péče, pracovníci Probační a mediační služby a Vězeňské služby ČR i další pracovníci veřejné správy, pokud jejich pracovní náplň souvisí s uvedenými typy sociálních a zdravotních služeb.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Cílovou skupinou jsou v případě aktivit spojených se sociálním podnikáním i zaměstnanci a zaměstnavatelé.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Veřejnost/komunita je cílovou skupinou pro odstranění překážek v chápání významu a nutnosti podpory sociálního začleňování osob.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b/>
          <w:bCs/>
          <w:sz w:val="22"/>
          <w:szCs w:val="22"/>
        </w:rPr>
        <w:lastRenderedPageBreak/>
        <w:t xml:space="preserve">Identifikace typů příjemců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Příjemci v této investiční prioritě budou zejména poskytovatelé služeb, kraje, obce a jimi zřizované organizace, svazky obcí, OSS (MPSV a jím řízené/zřízené organizace, atd.), NNO, zaměstnavatelé, sociální podniky, školy a školská zařízení, výzkumné a vzdělávací instituce atd.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Uvedení specifických území, na která bude podpora cílena </w:t>
      </w:r>
    </w:p>
    <w:p w:rsidR="00806299" w:rsidRPr="007E27A7" w:rsidRDefault="00C73BCB" w:rsidP="007E27A7">
      <w:pPr>
        <w:spacing w:after="120" w:line="240" w:lineRule="auto"/>
        <w:jc w:val="both"/>
      </w:pPr>
      <w:r w:rsidRPr="007E27A7">
        <w:t xml:space="preserve">V souladu s čl. </w:t>
      </w:r>
      <w:proofErr w:type="gramStart"/>
      <w:r w:rsidRPr="007E27A7">
        <w:t>96 (1) (a) obecného</w:t>
      </w:r>
      <w:proofErr w:type="gramEnd"/>
      <w:r w:rsidRPr="007E27A7">
        <w:t xml:space="preserve"> nařízení bude umožněno zacílení podpory v rámci této investiční priority na celé území České republiky napříč všemi typy regionů (tj. území rozvojová, stabilizovaná i periferní) tak, aby mohly být problémy sociálního vyloučení a boje s chudobou řešeny systémově v rámci celé ČR. Systém sociální ochrany musí být schopen aktivně reagovat na potřeby osob vzniklé kdykoliv na území ČR a založené na jakémkoliv sociálním jevu, musí být schopen tyto jevy v území účinně a efektivně řešit, a to především s ohledem na místní potřeby a specifika.</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V odůvodněných případech budou intervence zaměřeny také na sociálně vyloučené lokality (především s vysokým podílem romské populace), jejichž počet se neustále zvyšuje. </w:t>
      </w:r>
    </w:p>
    <w:p w:rsidR="00292C84" w:rsidRDefault="00292C84" w:rsidP="007E27A7">
      <w:pPr>
        <w:pStyle w:val="Default"/>
        <w:spacing w:after="120"/>
        <w:jc w:val="both"/>
        <w:rPr>
          <w:rFonts w:asciiTheme="minorHAnsi" w:hAnsiTheme="minorHAnsi"/>
          <w:b/>
          <w:bCs/>
          <w:sz w:val="22"/>
          <w:szCs w:val="22"/>
        </w:rPr>
      </w:pP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b/>
          <w:bCs/>
          <w:sz w:val="22"/>
          <w:szCs w:val="22"/>
        </w:rPr>
        <w:t xml:space="preserve">Indikativní procentuální podíl investiční priority na prioritní ose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Na tuto investiční prioritu je indikativně vyčleněno 55 % prostředků z alokace ESF na prioritní osu.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b/>
          <w:bCs/>
          <w:i/>
          <w:iCs/>
          <w:sz w:val="22"/>
          <w:szCs w:val="22"/>
        </w:rPr>
        <w:t xml:space="preserve">2.2.3.2 Hlavní principy výběru operací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Výběr projektů bude probíhat v souladu se závazným metodickým pokynem MMR pro řízení výzev, hodnocení a výběr projektů v programovém období 2014-2020. Tento metodický pokyn si klade za cíl mj. posílit důraz na posuzování skutečného smyslu a potřebnosti projektů (omezením počtu bodů přidělovaných za proveditelnost projektu), a zvýšení míry transparentnosti procesu výběru projektů. Metodický pokyn vychází mj. ze Strategie pro boj s podvody a korupcí v rámci čerpání ESI fondů v období 2014 – 2020.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V rámci této investiční priority budou vyhlašovány výzvy na předkládání soutěžních projektů a projektů přímého přidělení (nesoutěžních). Do výběru projektů přímého přidělení (stejně jako do přípravy všech výzev) bude zapojeno příslušné Programové partnerství, tj. platforma ustavená ŘO OPZ pro vymezené úrovně struktury OPZ (zpravidla pro jednotlivé prioritní osy) na principu partnerství. V Programovém partnerství jsou zpravidla zastoupeni: ŘO, dotčené partnerské řídicí orgány, věcní garanti za příslušnou, MMR, další expertní subjekty/osoby, sociální a ekonomičtí partneři (zejména nestátní neziskový sektor). Projekty přímého přidělení musí ve fázi přípravy, tj. v podobě projektového záměru, získat souhlas Programového partnerství (nebo jím schválené platformy) s rozpracováním do formátu plné žádosti o podporu. Projekt přímého přidělení předložený do výzvy, aniž by měl tento souhlas, bude vyřazen v rámci hodnocení přijatelnosti dané žádosti o podporu.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Projekty budou hodnoceny a vybírány podle kritérií pro výběr projektů, která schválí Monitorovací výbor OPZ. Pro zajištění příspěvku projektů k plnění specifických cílů a dosahování výsledků příslušných prioritních os budou v kritériích pro výběr projektů zastoupena kritéria vztahující se k dosahování hodnot monitorovacích indikátorů, resp. jednotek výstupu v případě projektů využívajících jednotkové náklady.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Za účelem snížení administrativní zátěže bude usilováno o využívání zjednodušených forem vykazování výdajů. Všude tam, kde dostupná data a charakter projektů umožní vydefinování konkrétních jednotek výstupů a jejich ocenění, bude zvažováno využití jednotkových nákladů.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Při hodnocení a výběru projektů bude posuzována rovněž problematika horizontálních témat (rovné příležitosti a nediskriminace, rovnost žen a mužů a udržitelný rozvoj). Projekt, u kterého bude identifikován negativní dopad na uvedená horizontální témata, nebude moci být podpořen z prostředků OPZ (blíže viz kap. 11).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sz w:val="22"/>
          <w:szCs w:val="22"/>
        </w:rPr>
        <w:lastRenderedPageBreak/>
        <w:t xml:space="preserve">V rámci této investiční priority (specifického cíle 1 Zvýšit uplatnitelnost osob ohrožených sociálním vyloučením nebo sociálně vyloučených ve společnosti a na trhu práce) mohou být realizovány také projekty, které budou součástí integrovaných nástrojů, viz kap. 4 Integrovaný přístup k územnímu rozvoji. V takovém případě budou projekty vybírány v souladu s postupem uvedeným v Metodickém pokynu pro využití integrovaných nástrojů v programovém období 2014-2020. </w:t>
      </w:r>
    </w:p>
    <w:p w:rsidR="00292C84" w:rsidRDefault="00292C84" w:rsidP="007E27A7">
      <w:pPr>
        <w:spacing w:after="120" w:line="240" w:lineRule="auto"/>
        <w:jc w:val="both"/>
        <w:rPr>
          <w:b/>
          <w:bCs/>
          <w:i/>
          <w:iCs/>
        </w:rPr>
      </w:pPr>
    </w:p>
    <w:p w:rsidR="00C73BCB" w:rsidRPr="007E27A7" w:rsidRDefault="00C73BCB" w:rsidP="007E27A7">
      <w:pPr>
        <w:spacing w:after="120" w:line="240" w:lineRule="auto"/>
        <w:jc w:val="both"/>
        <w:rPr>
          <w:b/>
          <w:bCs/>
          <w:i/>
          <w:iCs/>
        </w:rPr>
      </w:pPr>
      <w:r w:rsidRPr="007E27A7">
        <w:rPr>
          <w:b/>
          <w:bCs/>
          <w:i/>
          <w:iCs/>
        </w:rPr>
        <w:t>2.2.3.3 Plánované využití finančních nástrojů</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Využití finančních nástrojů je zvažováno v oblasti sociální ekonomiky. Před případným využitím finančních nástrojů bude zpracováno ex-ante posouzení vhodnosti a podmínek pro jejich využití, a to dle čl. 37 obecného nařízení.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b/>
          <w:bCs/>
          <w:i/>
          <w:iCs/>
          <w:sz w:val="22"/>
          <w:szCs w:val="22"/>
        </w:rPr>
        <w:t xml:space="preserve">2.2.3.4 Plánované využití velkých projektů </w:t>
      </w:r>
    </w:p>
    <w:p w:rsidR="00C73BCB" w:rsidRPr="007E27A7" w:rsidRDefault="00C73BCB" w:rsidP="007E27A7">
      <w:pPr>
        <w:pStyle w:val="Default"/>
        <w:spacing w:after="120"/>
        <w:jc w:val="both"/>
        <w:rPr>
          <w:rFonts w:asciiTheme="minorHAnsi" w:hAnsiTheme="minorHAnsi"/>
          <w:sz w:val="22"/>
          <w:szCs w:val="22"/>
        </w:rPr>
      </w:pPr>
      <w:r w:rsidRPr="007E27A7">
        <w:rPr>
          <w:rFonts w:asciiTheme="minorHAnsi" w:hAnsiTheme="minorHAnsi"/>
          <w:sz w:val="22"/>
          <w:szCs w:val="22"/>
        </w:rPr>
        <w:t xml:space="preserve">Vzhledem k tomu, že OPZ je spolufinancován z ESF, nebude obsahovat žádné velké projekty ve smyslu čl. 90 obecného nařízení. </w:t>
      </w:r>
    </w:p>
    <w:p w:rsidR="00C73BCB" w:rsidRPr="007E27A7" w:rsidRDefault="00C73BCB" w:rsidP="007E27A7">
      <w:pPr>
        <w:spacing w:after="120" w:line="240" w:lineRule="auto"/>
        <w:jc w:val="both"/>
        <w:rPr>
          <w:b/>
          <w:bCs/>
          <w:i/>
          <w:iCs/>
        </w:rPr>
      </w:pPr>
      <w:r w:rsidRPr="007E27A7">
        <w:rPr>
          <w:b/>
          <w:bCs/>
          <w:i/>
          <w:iCs/>
        </w:rPr>
        <w:t>2.2.3.5 Společné a specifické indikátory výstupu</w:t>
      </w:r>
    </w:p>
    <w:p w:rsidR="00C73BCB" w:rsidRPr="007E27A7" w:rsidRDefault="00C73BCB" w:rsidP="007E27A7">
      <w:pPr>
        <w:spacing w:after="120" w:line="240" w:lineRule="auto"/>
        <w:jc w:val="both"/>
      </w:pPr>
      <w:r w:rsidRPr="007E27A7">
        <w:rPr>
          <w:noProof/>
          <w:lang w:eastAsia="cs-CZ"/>
        </w:rPr>
        <w:drawing>
          <wp:inline distT="0" distB="0" distL="0" distR="0" wp14:anchorId="54681014" wp14:editId="373DA775">
            <wp:extent cx="4946015" cy="5764530"/>
            <wp:effectExtent l="0" t="0" r="6985"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6015" cy="5764530"/>
                    </a:xfrm>
                    <a:prstGeom prst="rect">
                      <a:avLst/>
                    </a:prstGeom>
                    <a:noFill/>
                    <a:ln>
                      <a:noFill/>
                    </a:ln>
                  </pic:spPr>
                </pic:pic>
              </a:graphicData>
            </a:graphic>
          </wp:inline>
        </w:drawing>
      </w:r>
    </w:p>
    <w:sectPr w:rsidR="00C73BCB" w:rsidRPr="007E2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532"/>
    <w:multiLevelType w:val="hybridMultilevel"/>
    <w:tmpl w:val="34D88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235756F"/>
    <w:multiLevelType w:val="hybridMultilevel"/>
    <w:tmpl w:val="D2627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C"/>
    <w:rsid w:val="000F3B70"/>
    <w:rsid w:val="00151522"/>
    <w:rsid w:val="00292C84"/>
    <w:rsid w:val="0031273C"/>
    <w:rsid w:val="003874FA"/>
    <w:rsid w:val="007E27A7"/>
    <w:rsid w:val="00806299"/>
    <w:rsid w:val="008921B2"/>
    <w:rsid w:val="00934DFE"/>
    <w:rsid w:val="00C73BCB"/>
    <w:rsid w:val="00CE2B5A"/>
    <w:rsid w:val="00EF0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F3B70"/>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934D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4DFE"/>
    <w:rPr>
      <w:rFonts w:ascii="Tahoma" w:hAnsi="Tahoma" w:cs="Tahoma"/>
      <w:sz w:val="16"/>
      <w:szCs w:val="16"/>
    </w:rPr>
  </w:style>
  <w:style w:type="paragraph" w:styleId="Odstavecseseznamem">
    <w:name w:val="List Paragraph"/>
    <w:basedOn w:val="Normln"/>
    <w:uiPriority w:val="34"/>
    <w:qFormat/>
    <w:rsid w:val="00292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F3B70"/>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934D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4DFE"/>
    <w:rPr>
      <w:rFonts w:ascii="Tahoma" w:hAnsi="Tahoma" w:cs="Tahoma"/>
      <w:sz w:val="16"/>
      <w:szCs w:val="16"/>
    </w:rPr>
  </w:style>
  <w:style w:type="paragraph" w:styleId="Odstavecseseznamem">
    <w:name w:val="List Paragraph"/>
    <w:basedOn w:val="Normln"/>
    <w:uiPriority w:val="34"/>
    <w:qFormat/>
    <w:rsid w:val="00292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DE08-808B-4583-9FB8-023E506E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5336</Words>
  <Characters>31487</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Maškarincová Věra</dc:creator>
  <cp:lastModifiedBy>Putíková Michaela</cp:lastModifiedBy>
  <cp:revision>3</cp:revision>
  <dcterms:created xsi:type="dcterms:W3CDTF">2015-07-16T14:03:00Z</dcterms:created>
  <dcterms:modified xsi:type="dcterms:W3CDTF">2015-07-17T09:24:00Z</dcterms:modified>
</cp:coreProperties>
</file>